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6FB" w:rsidRDefault="00B576FB" w:rsidP="00B576FB">
      <w:pPr>
        <w:spacing w:line="360" w:lineRule="auto"/>
        <w:ind w:right="-82"/>
        <w:jc w:val="both"/>
        <w:rPr>
          <w:rFonts w:ascii="Arial" w:hAnsi="Arial" w:cs="Arial"/>
          <w:b/>
          <w:sz w:val="24"/>
          <w:szCs w:val="24"/>
        </w:rPr>
      </w:pPr>
    </w:p>
    <w:p w:rsidR="00B576FB" w:rsidRDefault="00B576FB" w:rsidP="00B576FB">
      <w:pPr>
        <w:spacing w:line="360" w:lineRule="auto"/>
        <w:ind w:right="-82"/>
        <w:jc w:val="both"/>
        <w:rPr>
          <w:rFonts w:ascii="Arial" w:hAnsi="Arial" w:cs="Arial"/>
          <w:b/>
          <w:sz w:val="24"/>
          <w:szCs w:val="24"/>
        </w:rPr>
      </w:pPr>
    </w:p>
    <w:p w:rsidR="00B576FB" w:rsidRDefault="00B576FB" w:rsidP="00B576FB">
      <w:pPr>
        <w:spacing w:line="360" w:lineRule="auto"/>
        <w:ind w:right="-82"/>
        <w:jc w:val="both"/>
        <w:rPr>
          <w:rFonts w:ascii="Arial" w:hAnsi="Arial" w:cs="Arial"/>
          <w:b/>
          <w:sz w:val="24"/>
          <w:szCs w:val="24"/>
        </w:rPr>
      </w:pPr>
    </w:p>
    <w:p w:rsidR="00B576FB" w:rsidRPr="00B576FB" w:rsidRDefault="00B576FB" w:rsidP="00B576FB">
      <w:pPr>
        <w:tabs>
          <w:tab w:val="left" w:pos="9180"/>
        </w:tabs>
        <w:spacing w:line="360" w:lineRule="auto"/>
        <w:ind w:left="360" w:right="458"/>
        <w:jc w:val="center"/>
        <w:rPr>
          <w:b/>
          <w:color w:val="002060"/>
          <w:sz w:val="48"/>
          <w:szCs w:val="48"/>
        </w:rPr>
      </w:pPr>
      <w:r w:rsidRPr="00B576FB">
        <w:rPr>
          <w:b/>
          <w:color w:val="002060"/>
          <w:sz w:val="48"/>
          <w:szCs w:val="48"/>
        </w:rPr>
        <w:t>Gli strumenti di finanza agevolata a sostegno dei processi di internazionalizzazione</w:t>
      </w:r>
    </w:p>
    <w:p w:rsidR="00B576FB" w:rsidRDefault="00B576FB" w:rsidP="00B576FB">
      <w:pPr>
        <w:tabs>
          <w:tab w:val="left" w:pos="9180"/>
        </w:tabs>
        <w:spacing w:line="360" w:lineRule="auto"/>
        <w:ind w:left="360"/>
        <w:jc w:val="both"/>
        <w:rPr>
          <w:b/>
          <w:bCs/>
          <w:color w:val="365F91"/>
          <w:sz w:val="28"/>
          <w:szCs w:val="28"/>
        </w:rPr>
      </w:pPr>
    </w:p>
    <w:p w:rsidR="00B576FB" w:rsidRDefault="00B576FB" w:rsidP="00B576FB">
      <w:pPr>
        <w:tabs>
          <w:tab w:val="left" w:pos="9180"/>
        </w:tabs>
        <w:spacing w:line="360" w:lineRule="auto"/>
        <w:ind w:left="360"/>
        <w:jc w:val="both"/>
        <w:rPr>
          <w:b/>
          <w:bCs/>
          <w:color w:val="365F91"/>
          <w:sz w:val="28"/>
          <w:szCs w:val="28"/>
        </w:rPr>
      </w:pPr>
    </w:p>
    <w:p w:rsidR="00B576FB" w:rsidRDefault="00B576FB" w:rsidP="00B576FB">
      <w:pPr>
        <w:tabs>
          <w:tab w:val="left" w:pos="9180"/>
        </w:tabs>
        <w:spacing w:line="360" w:lineRule="auto"/>
        <w:ind w:left="360"/>
        <w:jc w:val="both"/>
        <w:rPr>
          <w:b/>
          <w:bCs/>
          <w:color w:val="365F91"/>
          <w:sz w:val="28"/>
          <w:szCs w:val="28"/>
        </w:rPr>
      </w:pPr>
    </w:p>
    <w:p w:rsidR="00B576FB" w:rsidRDefault="00B576FB" w:rsidP="00B576FB">
      <w:pPr>
        <w:tabs>
          <w:tab w:val="left" w:pos="9180"/>
        </w:tabs>
        <w:spacing w:line="360" w:lineRule="auto"/>
        <w:ind w:left="360"/>
        <w:jc w:val="both"/>
        <w:rPr>
          <w:b/>
          <w:bCs/>
          <w:color w:val="365F91"/>
          <w:sz w:val="28"/>
          <w:szCs w:val="28"/>
        </w:rPr>
      </w:pPr>
    </w:p>
    <w:p w:rsidR="00B576FB" w:rsidRDefault="00B576FB" w:rsidP="00B576FB">
      <w:pPr>
        <w:tabs>
          <w:tab w:val="left" w:pos="1335"/>
        </w:tabs>
        <w:spacing w:line="360" w:lineRule="auto"/>
        <w:jc w:val="both"/>
        <w:rPr>
          <w:b/>
          <w:bCs/>
          <w:color w:val="365F91"/>
          <w:sz w:val="28"/>
          <w:szCs w:val="28"/>
        </w:rPr>
      </w:pPr>
    </w:p>
    <w:p w:rsidR="00B576FB" w:rsidRDefault="00B576FB" w:rsidP="00B576FB">
      <w:pPr>
        <w:tabs>
          <w:tab w:val="left" w:pos="9180"/>
        </w:tabs>
        <w:spacing w:line="360" w:lineRule="auto"/>
        <w:ind w:left="360"/>
        <w:jc w:val="both"/>
        <w:rPr>
          <w:b/>
          <w:bCs/>
          <w:color w:val="365F91"/>
          <w:sz w:val="28"/>
          <w:szCs w:val="28"/>
        </w:rPr>
      </w:pPr>
    </w:p>
    <w:p w:rsidR="00B576FB" w:rsidRDefault="00B576FB" w:rsidP="00B576FB">
      <w:pPr>
        <w:tabs>
          <w:tab w:val="left" w:pos="9180"/>
        </w:tabs>
        <w:spacing w:line="360" w:lineRule="auto"/>
        <w:ind w:left="360"/>
        <w:jc w:val="both"/>
        <w:rPr>
          <w:b/>
          <w:color w:val="365F91"/>
          <w:sz w:val="28"/>
          <w:szCs w:val="28"/>
        </w:rPr>
      </w:pPr>
      <w:r>
        <w:rPr>
          <w:b/>
          <w:bCs/>
          <w:color w:val="365F91"/>
          <w:sz w:val="28"/>
          <w:szCs w:val="28"/>
        </w:rPr>
        <w:t>a cura di: Avv. Alessandro Russo</w:t>
      </w:r>
    </w:p>
    <w:p w:rsidR="00B576FB" w:rsidRDefault="00B576FB" w:rsidP="00B576FB">
      <w:pPr>
        <w:tabs>
          <w:tab w:val="left" w:pos="9180"/>
        </w:tabs>
        <w:spacing w:line="360" w:lineRule="auto"/>
        <w:ind w:left="360"/>
        <w:jc w:val="both"/>
        <w:rPr>
          <w:b/>
          <w:sz w:val="24"/>
          <w:szCs w:val="24"/>
        </w:rPr>
      </w:pPr>
      <w:r>
        <w:rPr>
          <w:noProof/>
          <w:sz w:val="24"/>
          <w:szCs w:val="24"/>
          <w:lang w:eastAsia="it-IT"/>
        </w:rPr>
        <w:drawing>
          <wp:anchor distT="0" distB="0" distL="114300" distR="114300" simplePos="0" relativeHeight="251657216" behindDoc="0" locked="0" layoutInCell="1" allowOverlap="1">
            <wp:simplePos x="0" y="0"/>
            <wp:positionH relativeFrom="column">
              <wp:posOffset>213360</wp:posOffset>
            </wp:positionH>
            <wp:positionV relativeFrom="paragraph">
              <wp:posOffset>43815</wp:posOffset>
            </wp:positionV>
            <wp:extent cx="828675" cy="847725"/>
            <wp:effectExtent l="0" t="0" r="9525" b="9525"/>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8675" cy="847725"/>
                    </a:xfrm>
                    <a:prstGeom prst="rect">
                      <a:avLst/>
                    </a:prstGeom>
                    <a:noFill/>
                  </pic:spPr>
                </pic:pic>
              </a:graphicData>
            </a:graphic>
          </wp:anchor>
        </w:drawing>
      </w:r>
      <w:bookmarkStart w:id="0" w:name="_GoBack"/>
      <w:bookmarkEnd w:id="0"/>
      <w:r w:rsidR="00D641B3" w:rsidRPr="00D641B3">
        <w:rPr>
          <w:noProof/>
          <w:sz w:val="24"/>
          <w:szCs w:val="24"/>
          <w:lang w:eastAsia="it-IT"/>
        </w:rPr>
        <w:pict>
          <v:rect id="Rettangolo 2053" o:spid="_x0000_s1026" style="position:absolute;left:0;text-align:left;margin-left:90.75pt;margin-top:41.85pt;width:238.65pt;height:31.95pt;z-index:251658240;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" filled="f" fillcolor="#4f81bd [3204]" stroked="f" strokecolor="black [3213]">
            <v:shadow color="#eeece1 [3214]"/>
            <v:textbox style="mso-fit-shape-to-text:t">
              <w:txbxContent>
                <w:p w:rsidR="00B576FB" w:rsidRDefault="00B576FB" w:rsidP="00B576FB">
                  <w:pPr>
                    <w:pStyle w:val="NormaleWeb"/>
                    <w:kinsoku w:val="0"/>
                    <w:overflowPunct w:val="0"/>
                    <w:spacing w:before="0" w:beforeAutospacing="0" w:after="0" w:afterAutospacing="0"/>
                    <w:textAlignment w:val="baseline"/>
                  </w:pPr>
                  <w:r>
                    <w:rPr>
                      <w:rFonts w:ascii="Arial Unicode MS" w:eastAsia="Arial Unicode MS" w:hAnsi="Arial Unicode MS" w:cs="Arial Unicode MS" w:hint="eastAsia"/>
                      <w:b/>
                      <w:bCs/>
                      <w:color w:val="000080"/>
                      <w:kern w:val="24"/>
                      <w:sz w:val="28"/>
                      <w:szCs w:val="28"/>
                    </w:rPr>
                    <w:t>Tupponi, De Marinis &amp;Partners</w:t>
                  </w:r>
                </w:p>
              </w:txbxContent>
            </v:textbox>
          </v:rect>
        </w:pict>
      </w:r>
    </w:p>
    <w:p w:rsidR="00B576FB" w:rsidRDefault="00B576FB" w:rsidP="00B576FB">
      <w:pPr>
        <w:tabs>
          <w:tab w:val="left" w:pos="9180"/>
        </w:tabs>
        <w:spacing w:line="360" w:lineRule="auto"/>
        <w:ind w:left="360"/>
        <w:jc w:val="both"/>
        <w:rPr>
          <w:b/>
        </w:rPr>
      </w:pPr>
    </w:p>
    <w:p w:rsidR="00B576FB" w:rsidRDefault="00B576FB" w:rsidP="00B576FB">
      <w:pPr>
        <w:tabs>
          <w:tab w:val="left" w:pos="9180"/>
        </w:tabs>
        <w:spacing w:line="360" w:lineRule="auto"/>
        <w:ind w:left="360"/>
        <w:jc w:val="both"/>
        <w:rPr>
          <w:b/>
        </w:rPr>
      </w:pPr>
    </w:p>
    <w:p w:rsidR="00B576FB" w:rsidRDefault="00B576FB" w:rsidP="00B576FB">
      <w:pPr>
        <w:tabs>
          <w:tab w:val="left" w:pos="9180"/>
        </w:tabs>
        <w:spacing w:line="360" w:lineRule="auto"/>
        <w:ind w:left="360"/>
        <w:jc w:val="both"/>
        <w:rPr>
          <w:b/>
        </w:rPr>
      </w:pPr>
    </w:p>
    <w:p w:rsidR="00B576FB" w:rsidRDefault="00B576FB" w:rsidP="00B576FB">
      <w:pPr>
        <w:tabs>
          <w:tab w:val="left" w:pos="9180"/>
        </w:tabs>
        <w:spacing w:line="360" w:lineRule="auto"/>
        <w:ind w:left="360"/>
        <w:jc w:val="both"/>
        <w:rPr>
          <w:b/>
          <w:lang w:val="en-US"/>
        </w:rPr>
      </w:pPr>
      <w:r>
        <w:rPr>
          <w:rFonts w:ascii="Arial Unicode MS" w:eastAsia="Arial Unicode MS" w:hAnsi="Arial Unicode MS" w:cs="Arial Unicode MS" w:hint="eastAsia"/>
          <w:color w:val="999999"/>
          <w:kern w:val="24"/>
          <w:sz w:val="18"/>
          <w:szCs w:val="18"/>
          <w:lang w:val="en-GB"/>
        </w:rPr>
        <w:t>International Business Law Firm</w:t>
      </w:r>
    </w:p>
    <w:p w:rsidR="00B576FB" w:rsidRDefault="00B576FB" w:rsidP="00B576FB">
      <w:pPr>
        <w:tabs>
          <w:tab w:val="left" w:pos="9180"/>
        </w:tabs>
        <w:spacing w:line="360" w:lineRule="auto"/>
        <w:ind w:left="360"/>
        <w:jc w:val="both"/>
        <w:rPr>
          <w:b/>
          <w:color w:val="002060"/>
          <w:lang w:val="en-US"/>
        </w:rPr>
      </w:pPr>
      <w:r>
        <w:rPr>
          <w:b/>
          <w:color w:val="002060"/>
          <w:lang w:val="en-US"/>
        </w:rPr>
        <w:t>a.russo@tupponi-demarinis.it</w:t>
      </w:r>
    </w:p>
    <w:p w:rsidR="00B576FB" w:rsidRDefault="00B576FB" w:rsidP="00B576FB">
      <w:pPr>
        <w:tabs>
          <w:tab w:val="left" w:pos="9180"/>
        </w:tabs>
        <w:spacing w:line="360" w:lineRule="auto"/>
        <w:ind w:left="360"/>
        <w:jc w:val="both"/>
        <w:rPr>
          <w:b/>
          <w:lang w:val="en-US"/>
        </w:rPr>
      </w:pPr>
    </w:p>
    <w:p w:rsidR="00B576FB" w:rsidRPr="00B576FB" w:rsidRDefault="00B576FB" w:rsidP="00B576FB">
      <w:pPr>
        <w:spacing w:line="360" w:lineRule="auto"/>
        <w:ind w:right="-82"/>
        <w:jc w:val="both"/>
        <w:rPr>
          <w:rFonts w:ascii="Arial" w:hAnsi="Arial" w:cs="Arial"/>
          <w:b/>
          <w:sz w:val="24"/>
          <w:szCs w:val="24"/>
          <w:lang w:val="en-US"/>
        </w:rPr>
      </w:pPr>
    </w:p>
    <w:p w:rsidR="00B576FB" w:rsidRDefault="00B576FB" w:rsidP="00B576FB">
      <w:pPr>
        <w:spacing w:line="360" w:lineRule="auto"/>
        <w:ind w:right="-82"/>
        <w:jc w:val="both"/>
        <w:rPr>
          <w:rFonts w:ascii="Arial" w:hAnsi="Arial" w:cs="Arial"/>
          <w:b/>
          <w:sz w:val="24"/>
          <w:szCs w:val="24"/>
        </w:rPr>
      </w:pPr>
      <w:r>
        <w:rPr>
          <w:rFonts w:ascii="Arial" w:hAnsi="Arial" w:cs="Arial"/>
          <w:b/>
          <w:sz w:val="24"/>
          <w:szCs w:val="24"/>
        </w:rPr>
        <w:lastRenderedPageBreak/>
        <w:t>A)   GLI STRUMENTI DI FINANZA AGEVOLATA A SOSTEGNO DEI PROCESSI DI INTERNAZIONALIZZAZIONE</w:t>
      </w:r>
    </w:p>
    <w:p w:rsidR="00B576FB" w:rsidRDefault="00B576FB" w:rsidP="00B576FB">
      <w:pPr>
        <w:widowControl w:val="0"/>
        <w:overflowPunct w:val="0"/>
        <w:adjustRightInd w:val="0"/>
        <w:spacing w:after="0" w:line="240" w:lineRule="auto"/>
        <w:jc w:val="both"/>
        <w:rPr>
          <w:rFonts w:ascii="Arial" w:hAnsi="Arial" w:cs="Arial"/>
          <w:kern w:val="28"/>
          <w:sz w:val="20"/>
          <w:szCs w:val="20"/>
          <w:lang w:eastAsia="it-IT"/>
        </w:rPr>
      </w:pPr>
    </w:p>
    <w:p w:rsidR="00B576FB" w:rsidRDefault="00B576FB" w:rsidP="00B576FB">
      <w:pPr>
        <w:widowControl w:val="0"/>
        <w:overflowPunct w:val="0"/>
        <w:adjustRightInd w:val="0"/>
        <w:spacing w:after="0" w:line="240" w:lineRule="auto"/>
        <w:jc w:val="both"/>
        <w:rPr>
          <w:rFonts w:ascii="Arial" w:hAnsi="Arial" w:cs="Arial"/>
          <w:kern w:val="28"/>
          <w:sz w:val="20"/>
          <w:szCs w:val="20"/>
          <w:lang w:eastAsia="it-IT"/>
        </w:rPr>
      </w:pPr>
      <w:r>
        <w:rPr>
          <w:rFonts w:ascii="Arial" w:hAnsi="Arial" w:cs="Arial"/>
          <w:kern w:val="28"/>
          <w:sz w:val="20"/>
          <w:szCs w:val="20"/>
          <w:lang w:eastAsia="it-IT"/>
        </w:rPr>
        <w:t>SOMMARIO</w:t>
      </w:r>
    </w:p>
    <w:p w:rsidR="00B576FB" w:rsidRDefault="00B576FB" w:rsidP="00B576FB">
      <w:pPr>
        <w:tabs>
          <w:tab w:val="left" w:pos="9180"/>
        </w:tabs>
        <w:spacing w:after="0" w:line="360" w:lineRule="auto"/>
        <w:ind w:right="-82"/>
        <w:jc w:val="both"/>
        <w:rPr>
          <w:rFonts w:ascii="Arial" w:hAnsi="Arial" w:cs="Arial"/>
          <w:sz w:val="20"/>
          <w:szCs w:val="20"/>
        </w:rPr>
      </w:pPr>
    </w:p>
    <w:p w:rsidR="00B576FB" w:rsidRDefault="00B576FB" w:rsidP="00B576FB">
      <w:pPr>
        <w:tabs>
          <w:tab w:val="left" w:pos="9180"/>
        </w:tabs>
        <w:spacing w:after="0" w:line="360" w:lineRule="auto"/>
        <w:ind w:right="-82"/>
        <w:jc w:val="both"/>
        <w:rPr>
          <w:rFonts w:ascii="Arial" w:hAnsi="Arial" w:cs="Arial"/>
          <w:sz w:val="20"/>
          <w:szCs w:val="20"/>
        </w:rPr>
      </w:pPr>
      <w:r>
        <w:rPr>
          <w:rFonts w:ascii="Arial" w:hAnsi="Arial" w:cs="Arial"/>
          <w:sz w:val="20"/>
          <w:szCs w:val="20"/>
        </w:rPr>
        <w:t>1. Introduzione e panoramica generale</w:t>
      </w:r>
    </w:p>
    <w:p w:rsidR="00B576FB" w:rsidRDefault="00B576FB" w:rsidP="00B576FB">
      <w:pPr>
        <w:autoSpaceDE w:val="0"/>
        <w:autoSpaceDN w:val="0"/>
        <w:adjustRightInd w:val="0"/>
        <w:spacing w:after="0" w:line="360" w:lineRule="auto"/>
        <w:ind w:right="-82"/>
        <w:jc w:val="both"/>
        <w:rPr>
          <w:rFonts w:ascii="Arial" w:hAnsi="Arial" w:cs="Arial"/>
          <w:bCs/>
          <w:sz w:val="20"/>
          <w:szCs w:val="20"/>
        </w:rPr>
      </w:pPr>
      <w:r>
        <w:rPr>
          <w:rFonts w:ascii="Arial" w:hAnsi="Arial" w:cs="Arial"/>
          <w:bCs/>
          <w:sz w:val="20"/>
          <w:szCs w:val="20"/>
        </w:rPr>
        <w:t>2. Gli Strumenti Simest</w:t>
      </w:r>
    </w:p>
    <w:p w:rsidR="00B576FB" w:rsidRDefault="00B576FB" w:rsidP="00B576FB">
      <w:pPr>
        <w:autoSpaceDE w:val="0"/>
        <w:autoSpaceDN w:val="0"/>
        <w:adjustRightInd w:val="0"/>
        <w:spacing w:line="360" w:lineRule="auto"/>
        <w:ind w:left="708" w:right="-82"/>
        <w:jc w:val="both"/>
        <w:rPr>
          <w:rFonts w:ascii="Arial" w:hAnsi="Arial" w:cs="Arial"/>
          <w:sz w:val="20"/>
          <w:szCs w:val="20"/>
        </w:rPr>
      </w:pPr>
      <w:r>
        <w:rPr>
          <w:rFonts w:ascii="Arial" w:hAnsi="Arial" w:cs="Arial"/>
          <w:sz w:val="20"/>
          <w:szCs w:val="20"/>
        </w:rPr>
        <w:t xml:space="preserve">2.2 </w:t>
      </w:r>
      <w:r>
        <w:rPr>
          <w:rFonts w:ascii="Arial" w:hAnsi="Arial" w:cs="Arial"/>
          <w:bCs/>
          <w:sz w:val="20"/>
          <w:szCs w:val="20"/>
        </w:rPr>
        <w:t xml:space="preserve">Finanziamenti agevolati per programmi di inserimento sui mercati esteri  </w:t>
      </w:r>
      <w:r>
        <w:rPr>
          <w:rFonts w:ascii="Arial" w:hAnsi="Arial" w:cs="Arial"/>
          <w:sz w:val="20"/>
          <w:szCs w:val="20"/>
        </w:rPr>
        <w:t>(Legge n. 133/08, art. 6, comma 2, lett. a). Circolare n. 2/2010</w:t>
      </w:r>
    </w:p>
    <w:p w:rsidR="00B576FB" w:rsidRDefault="00B576FB" w:rsidP="00B576FB">
      <w:pPr>
        <w:spacing w:line="360" w:lineRule="auto"/>
        <w:ind w:left="708" w:right="-82"/>
        <w:jc w:val="both"/>
        <w:rPr>
          <w:rFonts w:ascii="Arial" w:hAnsi="Arial" w:cs="Arial"/>
          <w:sz w:val="20"/>
          <w:szCs w:val="20"/>
        </w:rPr>
      </w:pPr>
      <w:r>
        <w:rPr>
          <w:rFonts w:ascii="Arial" w:hAnsi="Arial" w:cs="Arial"/>
          <w:sz w:val="20"/>
          <w:szCs w:val="20"/>
        </w:rPr>
        <w:t>2.3 Partecipazione in capitale in ambito UE: D. M. 23/12/2008</w:t>
      </w:r>
    </w:p>
    <w:p w:rsidR="00B576FB" w:rsidRDefault="00B576FB" w:rsidP="00B576FB">
      <w:pPr>
        <w:spacing w:line="360" w:lineRule="auto"/>
        <w:ind w:left="708" w:right="-82"/>
        <w:jc w:val="both"/>
        <w:rPr>
          <w:rFonts w:ascii="Arial" w:hAnsi="Arial" w:cs="Arial"/>
          <w:bCs/>
          <w:sz w:val="20"/>
          <w:szCs w:val="20"/>
        </w:rPr>
      </w:pPr>
      <w:r>
        <w:rPr>
          <w:rFonts w:ascii="Arial" w:hAnsi="Arial" w:cs="Arial"/>
          <w:bCs/>
          <w:sz w:val="20"/>
          <w:szCs w:val="20"/>
        </w:rPr>
        <w:t>2.4 Finanziamenti agevolati finalizzati a favorire la patrimonializzazione delle PMI esportatrici.  Legge 133 del 2008, art. 6, comma 2, lett. C, delibera CIPE n. 112/09</w:t>
      </w:r>
    </w:p>
    <w:p w:rsidR="00B576FB" w:rsidRDefault="00B576FB" w:rsidP="00B576FB">
      <w:pPr>
        <w:tabs>
          <w:tab w:val="left" w:pos="9180"/>
        </w:tabs>
        <w:spacing w:line="360" w:lineRule="auto"/>
        <w:ind w:left="708" w:right="-82"/>
        <w:jc w:val="both"/>
        <w:rPr>
          <w:rFonts w:ascii="Arial" w:hAnsi="Arial" w:cs="Arial"/>
          <w:sz w:val="20"/>
          <w:szCs w:val="20"/>
        </w:rPr>
      </w:pPr>
      <w:r>
        <w:rPr>
          <w:rFonts w:ascii="Arial" w:hAnsi="Arial" w:cs="Arial"/>
          <w:sz w:val="20"/>
          <w:szCs w:val="20"/>
        </w:rPr>
        <w:t>2.5 Il sostegno agli investimenti diretti in paesi extra UE</w:t>
      </w:r>
    </w:p>
    <w:p w:rsidR="00B576FB" w:rsidRDefault="00B576FB" w:rsidP="00B576FB">
      <w:pPr>
        <w:spacing w:line="360" w:lineRule="auto"/>
        <w:ind w:left="708" w:right="-82"/>
        <w:jc w:val="both"/>
        <w:rPr>
          <w:rFonts w:ascii="Arial" w:hAnsi="Arial" w:cs="Arial"/>
          <w:sz w:val="20"/>
          <w:szCs w:val="20"/>
        </w:rPr>
      </w:pPr>
      <w:r>
        <w:rPr>
          <w:rFonts w:ascii="Arial" w:hAnsi="Arial" w:cs="Arial"/>
          <w:sz w:val="20"/>
          <w:szCs w:val="20"/>
        </w:rPr>
        <w:t>2.6 Crediti all'Esportazione: contributi agli interessi su finanziamenti bancari per esportazioni di beni di investimento D.lgs 143/98, Capo II, ex legge 227/77</w:t>
      </w:r>
    </w:p>
    <w:p w:rsidR="00B576FB" w:rsidRDefault="00B576FB" w:rsidP="00B576FB">
      <w:pPr>
        <w:spacing w:line="360" w:lineRule="auto"/>
        <w:ind w:left="360" w:right="-82"/>
        <w:jc w:val="both"/>
        <w:rPr>
          <w:rFonts w:ascii="Arial" w:hAnsi="Arial" w:cs="Arial"/>
          <w:sz w:val="20"/>
          <w:szCs w:val="20"/>
        </w:rPr>
      </w:pPr>
      <w:r>
        <w:rPr>
          <w:rFonts w:ascii="Arial" w:hAnsi="Arial" w:cs="Arial"/>
          <w:bCs/>
          <w:sz w:val="20"/>
          <w:szCs w:val="20"/>
        </w:rPr>
        <w:t xml:space="preserve">3. </w:t>
      </w:r>
      <w:smartTag w:uri="urn:schemas-microsoft-com:office:smarttags" w:element="PersonName">
        <w:smartTagPr>
          <w:attr w:name="ProductID" w:val="La Finest"/>
        </w:smartTagPr>
        <w:r>
          <w:rPr>
            <w:rFonts w:ascii="Arial" w:hAnsi="Arial" w:cs="Arial"/>
            <w:bCs/>
            <w:sz w:val="20"/>
            <w:szCs w:val="20"/>
          </w:rPr>
          <w:t>La Finest</w:t>
        </w:r>
      </w:smartTag>
      <w:r>
        <w:rPr>
          <w:rFonts w:ascii="Arial" w:hAnsi="Arial" w:cs="Arial"/>
          <w:bCs/>
          <w:sz w:val="20"/>
          <w:szCs w:val="20"/>
        </w:rPr>
        <w:t xml:space="preserve"> (</w:t>
      </w:r>
      <w:r>
        <w:rPr>
          <w:rFonts w:ascii="Arial" w:hAnsi="Arial" w:cs="Arial"/>
          <w:iCs/>
          <w:sz w:val="20"/>
          <w:szCs w:val="20"/>
        </w:rPr>
        <w:t>Società Finanziaria di promozione della cooperazione economica con i Paesi dell’Est europeo)</w:t>
      </w:r>
    </w:p>
    <w:p w:rsidR="00B576FB" w:rsidRDefault="00B576FB" w:rsidP="00B576FB">
      <w:pPr>
        <w:spacing w:line="360" w:lineRule="auto"/>
        <w:ind w:left="360" w:right="-82"/>
        <w:jc w:val="both"/>
        <w:rPr>
          <w:rFonts w:ascii="Arial" w:hAnsi="Arial" w:cs="Arial"/>
          <w:sz w:val="20"/>
          <w:szCs w:val="20"/>
        </w:rPr>
      </w:pPr>
      <w:r>
        <w:rPr>
          <w:rFonts w:ascii="Arial" w:hAnsi="Arial" w:cs="Arial"/>
          <w:sz w:val="20"/>
          <w:szCs w:val="20"/>
        </w:rPr>
        <w:t>4. Altre tipologie di intervento</w:t>
      </w:r>
    </w:p>
    <w:p w:rsidR="00B576FB" w:rsidRDefault="00B576FB" w:rsidP="00B576FB">
      <w:pPr>
        <w:spacing w:line="360" w:lineRule="auto"/>
        <w:ind w:left="708" w:right="-82"/>
        <w:jc w:val="both"/>
        <w:rPr>
          <w:rFonts w:ascii="Arial" w:hAnsi="Arial" w:cs="Arial"/>
          <w:sz w:val="20"/>
          <w:szCs w:val="20"/>
        </w:rPr>
      </w:pPr>
      <w:r>
        <w:rPr>
          <w:rFonts w:ascii="Arial" w:hAnsi="Arial" w:cs="Arial"/>
          <w:bCs/>
          <w:sz w:val="20"/>
          <w:szCs w:val="20"/>
        </w:rPr>
        <w:t xml:space="preserve">4.1 Creazione di Joint venture nei paesi in via di sviluppo </w:t>
      </w:r>
      <w:r>
        <w:rPr>
          <w:rFonts w:ascii="Arial" w:hAnsi="Arial" w:cs="Arial"/>
          <w:sz w:val="20"/>
          <w:szCs w:val="20"/>
        </w:rPr>
        <w:t>(art 7 della legge n. 49 del 26 febbraio 1987)</w:t>
      </w:r>
    </w:p>
    <w:p w:rsidR="00B576FB" w:rsidRDefault="00B576FB" w:rsidP="00B576FB">
      <w:pPr>
        <w:spacing w:line="360" w:lineRule="auto"/>
        <w:ind w:left="708" w:right="-82"/>
        <w:jc w:val="both"/>
        <w:rPr>
          <w:rFonts w:ascii="Arial" w:hAnsi="Arial" w:cs="Arial"/>
          <w:sz w:val="20"/>
          <w:szCs w:val="20"/>
        </w:rPr>
      </w:pPr>
      <w:r>
        <w:rPr>
          <w:rFonts w:ascii="Arial" w:hAnsi="Arial" w:cs="Arial"/>
          <w:sz w:val="20"/>
          <w:szCs w:val="20"/>
        </w:rPr>
        <w:t xml:space="preserve">4.2 </w:t>
      </w:r>
      <w:r>
        <w:rPr>
          <w:rFonts w:ascii="Arial" w:hAnsi="Arial" w:cs="Arial"/>
          <w:bCs/>
          <w:sz w:val="20"/>
          <w:szCs w:val="20"/>
        </w:rPr>
        <w:t>Contributi ai Consorzi all’esportazione fra piccole e medie imprese</w:t>
      </w:r>
      <w:r>
        <w:rPr>
          <w:rFonts w:ascii="Arial" w:hAnsi="Arial" w:cs="Arial"/>
          <w:sz w:val="20"/>
          <w:szCs w:val="20"/>
        </w:rPr>
        <w:t xml:space="preserve"> (Legge 83/89)</w:t>
      </w:r>
    </w:p>
    <w:p w:rsidR="00B576FB" w:rsidRDefault="00B576FB" w:rsidP="00B576FB">
      <w:pPr>
        <w:spacing w:line="240" w:lineRule="auto"/>
        <w:ind w:left="360" w:right="-82"/>
        <w:jc w:val="both"/>
        <w:rPr>
          <w:rFonts w:ascii="Arial" w:hAnsi="Arial" w:cs="Arial"/>
          <w:sz w:val="20"/>
          <w:szCs w:val="20"/>
        </w:rPr>
      </w:pPr>
      <w:r>
        <w:rPr>
          <w:rFonts w:ascii="Arial" w:hAnsi="Arial" w:cs="Arial"/>
          <w:sz w:val="20"/>
          <w:szCs w:val="20"/>
        </w:rPr>
        <w:t xml:space="preserve">5. Gli strumenti internazionali </w:t>
      </w:r>
    </w:p>
    <w:p w:rsidR="00B576FB" w:rsidRDefault="00B576FB" w:rsidP="00B576FB">
      <w:pPr>
        <w:spacing w:line="360" w:lineRule="auto"/>
        <w:ind w:left="708" w:right="-82"/>
        <w:jc w:val="both"/>
        <w:rPr>
          <w:rFonts w:ascii="Arial" w:hAnsi="Arial" w:cs="Arial"/>
          <w:bCs/>
          <w:sz w:val="20"/>
          <w:szCs w:val="20"/>
        </w:rPr>
      </w:pPr>
      <w:r>
        <w:rPr>
          <w:rFonts w:ascii="Arial" w:hAnsi="Arial" w:cs="Arial"/>
          <w:sz w:val="20"/>
          <w:szCs w:val="20"/>
        </w:rPr>
        <w:t>5.1</w:t>
      </w:r>
      <w:smartTag w:uri="urn:schemas-microsoft-com:office:smarttags" w:element="PersonName">
        <w:smartTagPr>
          <w:attr w:name="ProductID" w:val="la Banca"/>
        </w:smartTagPr>
        <w:r>
          <w:rPr>
            <w:rFonts w:ascii="Arial" w:hAnsi="Arial" w:cs="Arial"/>
            <w:bCs/>
            <w:sz w:val="20"/>
            <w:szCs w:val="20"/>
          </w:rPr>
          <w:t>La Banca</w:t>
        </w:r>
      </w:smartTag>
      <w:r>
        <w:rPr>
          <w:rFonts w:ascii="Arial" w:hAnsi="Arial" w:cs="Arial"/>
          <w:bCs/>
          <w:sz w:val="20"/>
          <w:szCs w:val="20"/>
        </w:rPr>
        <w:t xml:space="preserve"> europea per gli investimenti (Bei)</w:t>
      </w:r>
    </w:p>
    <w:p w:rsidR="00B576FB" w:rsidRDefault="00B576FB" w:rsidP="00B576FB">
      <w:pPr>
        <w:spacing w:line="360" w:lineRule="auto"/>
        <w:ind w:left="708" w:right="-82"/>
        <w:jc w:val="both"/>
        <w:rPr>
          <w:rFonts w:ascii="Arial" w:hAnsi="Arial" w:cs="Arial"/>
          <w:bCs/>
          <w:sz w:val="20"/>
          <w:szCs w:val="20"/>
        </w:rPr>
      </w:pPr>
      <w:r>
        <w:rPr>
          <w:rFonts w:ascii="Arial" w:hAnsi="Arial" w:cs="Arial"/>
          <w:bCs/>
          <w:sz w:val="20"/>
          <w:szCs w:val="20"/>
        </w:rPr>
        <w:t xml:space="preserve">5.2 </w:t>
      </w:r>
      <w:smartTag w:uri="urn:schemas-microsoft-com:office:smarttags" w:element="PersonName">
        <w:smartTagPr>
          <w:attr w:name="ProductID" w:val="la Banca"/>
        </w:smartTagPr>
        <w:r>
          <w:rPr>
            <w:rFonts w:ascii="Arial" w:hAnsi="Arial" w:cs="Arial"/>
            <w:bCs/>
            <w:sz w:val="20"/>
            <w:szCs w:val="20"/>
          </w:rPr>
          <w:t>La Banca</w:t>
        </w:r>
      </w:smartTag>
      <w:r>
        <w:rPr>
          <w:rFonts w:ascii="Arial" w:hAnsi="Arial" w:cs="Arial"/>
          <w:bCs/>
          <w:sz w:val="20"/>
          <w:szCs w:val="20"/>
        </w:rPr>
        <w:t xml:space="preserve"> europea per la ricostruzione e lo sviluppo (Bers)</w:t>
      </w:r>
    </w:p>
    <w:p w:rsidR="00B576FB" w:rsidRDefault="00B576FB" w:rsidP="00B576FB">
      <w:pPr>
        <w:spacing w:line="360" w:lineRule="auto"/>
        <w:ind w:left="708" w:right="-82"/>
        <w:jc w:val="both"/>
        <w:rPr>
          <w:rFonts w:ascii="Arial" w:hAnsi="Arial" w:cs="Arial"/>
          <w:bCs/>
          <w:sz w:val="20"/>
          <w:szCs w:val="20"/>
        </w:rPr>
      </w:pPr>
      <w:r>
        <w:rPr>
          <w:rFonts w:ascii="Arial" w:hAnsi="Arial" w:cs="Arial"/>
          <w:bCs/>
          <w:sz w:val="20"/>
          <w:szCs w:val="20"/>
        </w:rPr>
        <w:t>5.3 Il Fondo europeo per gli investimenti (Fei)</w:t>
      </w:r>
    </w:p>
    <w:p w:rsidR="00B576FB" w:rsidRDefault="00B576FB" w:rsidP="00B576FB">
      <w:pPr>
        <w:spacing w:line="360" w:lineRule="auto"/>
        <w:ind w:left="708" w:right="-82"/>
        <w:jc w:val="both"/>
        <w:rPr>
          <w:rFonts w:ascii="Arial" w:hAnsi="Arial" w:cs="Arial"/>
          <w:bCs/>
          <w:sz w:val="20"/>
          <w:szCs w:val="20"/>
        </w:rPr>
      </w:pPr>
      <w:r>
        <w:rPr>
          <w:rFonts w:ascii="Arial" w:hAnsi="Arial" w:cs="Arial"/>
          <w:bCs/>
          <w:sz w:val="20"/>
          <w:szCs w:val="20"/>
        </w:rPr>
        <w:t>5.4  IFC International Finance Corporation</w:t>
      </w:r>
    </w:p>
    <w:p w:rsidR="00B576FB" w:rsidRDefault="00B576FB" w:rsidP="00B576FB">
      <w:pPr>
        <w:spacing w:line="360" w:lineRule="auto"/>
        <w:ind w:left="708" w:right="-82"/>
        <w:jc w:val="both"/>
        <w:rPr>
          <w:rFonts w:ascii="Arial" w:hAnsi="Arial" w:cs="Arial"/>
          <w:bCs/>
          <w:sz w:val="20"/>
          <w:szCs w:val="20"/>
        </w:rPr>
      </w:pPr>
      <w:r>
        <w:rPr>
          <w:rFonts w:ascii="Arial" w:hAnsi="Arial" w:cs="Arial"/>
          <w:bCs/>
          <w:sz w:val="20"/>
          <w:szCs w:val="20"/>
        </w:rPr>
        <w:t>5.5 I Fondi strutturali nei paesi UE di nuova adesione</w:t>
      </w:r>
    </w:p>
    <w:p w:rsidR="00B576FB" w:rsidRDefault="00B576FB" w:rsidP="00B576FB">
      <w:pPr>
        <w:tabs>
          <w:tab w:val="left" w:pos="9180"/>
        </w:tabs>
        <w:spacing w:line="360" w:lineRule="auto"/>
        <w:ind w:right="-82"/>
        <w:jc w:val="both"/>
        <w:rPr>
          <w:rFonts w:ascii="Arial" w:hAnsi="Arial" w:cs="Arial"/>
          <w:b/>
          <w:sz w:val="20"/>
          <w:szCs w:val="20"/>
        </w:rPr>
      </w:pPr>
    </w:p>
    <w:p w:rsidR="00B576FB" w:rsidRDefault="00B576FB" w:rsidP="00B576FB">
      <w:pPr>
        <w:tabs>
          <w:tab w:val="left" w:pos="9180"/>
        </w:tabs>
        <w:spacing w:line="360" w:lineRule="auto"/>
        <w:ind w:right="-82"/>
        <w:jc w:val="both"/>
        <w:rPr>
          <w:rFonts w:ascii="Arial" w:hAnsi="Arial" w:cs="Arial"/>
          <w:b/>
          <w:sz w:val="20"/>
          <w:szCs w:val="20"/>
        </w:rPr>
      </w:pPr>
    </w:p>
    <w:p w:rsidR="00B576FB" w:rsidRDefault="00B576FB" w:rsidP="00B576FB">
      <w:pPr>
        <w:tabs>
          <w:tab w:val="left" w:pos="9180"/>
        </w:tabs>
        <w:spacing w:line="360" w:lineRule="auto"/>
        <w:ind w:right="-82"/>
        <w:jc w:val="both"/>
        <w:rPr>
          <w:rFonts w:ascii="Arial" w:hAnsi="Arial" w:cs="Arial"/>
          <w:b/>
          <w:sz w:val="20"/>
          <w:szCs w:val="20"/>
        </w:rPr>
      </w:pPr>
    </w:p>
    <w:p w:rsidR="00B576FB" w:rsidRDefault="00B576FB" w:rsidP="00B576FB">
      <w:pPr>
        <w:tabs>
          <w:tab w:val="left" w:pos="9180"/>
        </w:tabs>
        <w:spacing w:line="360" w:lineRule="auto"/>
        <w:ind w:right="-82"/>
        <w:jc w:val="both"/>
        <w:rPr>
          <w:rFonts w:ascii="Arial" w:hAnsi="Arial" w:cs="Arial"/>
          <w:b/>
          <w:sz w:val="20"/>
          <w:szCs w:val="20"/>
        </w:rPr>
      </w:pPr>
    </w:p>
    <w:p w:rsidR="00B576FB" w:rsidRDefault="00B576FB" w:rsidP="00B576FB">
      <w:pPr>
        <w:spacing w:line="360" w:lineRule="auto"/>
        <w:ind w:left="360" w:right="92"/>
        <w:jc w:val="both"/>
        <w:rPr>
          <w:rFonts w:ascii="Arial" w:hAnsi="Arial" w:cs="Arial"/>
          <w:sz w:val="24"/>
          <w:szCs w:val="24"/>
        </w:rPr>
      </w:pPr>
      <w:r>
        <w:rPr>
          <w:rFonts w:ascii="Arial" w:hAnsi="Arial" w:cs="Arial"/>
          <w:b/>
          <w:sz w:val="24"/>
          <w:szCs w:val="24"/>
        </w:rPr>
        <w:lastRenderedPageBreak/>
        <w:t>B) ASSICURAZIONE DEI CREDITI ALL'ESPORTAZIONE E PRODOTTI SACE</w:t>
      </w:r>
    </w:p>
    <w:p w:rsidR="00B576FB" w:rsidRDefault="00B576FB" w:rsidP="00B576FB">
      <w:pPr>
        <w:spacing w:line="360" w:lineRule="auto"/>
        <w:ind w:left="360" w:right="92"/>
        <w:jc w:val="both"/>
        <w:rPr>
          <w:rFonts w:ascii="Arial" w:hAnsi="Arial" w:cs="Arial"/>
          <w:sz w:val="20"/>
          <w:szCs w:val="20"/>
        </w:rPr>
      </w:pPr>
    </w:p>
    <w:p w:rsidR="00B576FB" w:rsidRDefault="00B576FB" w:rsidP="00B576FB">
      <w:pPr>
        <w:spacing w:line="360" w:lineRule="auto"/>
        <w:ind w:left="360" w:right="92"/>
        <w:jc w:val="both"/>
        <w:rPr>
          <w:rFonts w:ascii="Arial" w:hAnsi="Arial" w:cs="Arial"/>
          <w:sz w:val="20"/>
          <w:szCs w:val="20"/>
        </w:rPr>
      </w:pPr>
      <w:r>
        <w:rPr>
          <w:rFonts w:ascii="Arial" w:hAnsi="Arial" w:cs="Arial"/>
          <w:sz w:val="20"/>
          <w:szCs w:val="20"/>
        </w:rPr>
        <w:t>SOMMARIO</w:t>
      </w:r>
    </w:p>
    <w:p w:rsidR="00B576FB" w:rsidRDefault="00B576FB" w:rsidP="00B576FB">
      <w:pPr>
        <w:spacing w:line="360" w:lineRule="auto"/>
        <w:ind w:left="360" w:right="92"/>
        <w:jc w:val="both"/>
        <w:rPr>
          <w:rFonts w:ascii="Arial" w:hAnsi="Arial" w:cs="Arial"/>
          <w:i/>
          <w:sz w:val="20"/>
          <w:szCs w:val="20"/>
        </w:rPr>
      </w:pPr>
    </w:p>
    <w:p w:rsidR="00B576FB" w:rsidRDefault="00B576FB" w:rsidP="00B576FB">
      <w:pPr>
        <w:spacing w:line="360" w:lineRule="auto"/>
        <w:ind w:left="360" w:right="92"/>
        <w:jc w:val="both"/>
        <w:rPr>
          <w:rFonts w:ascii="Arial" w:hAnsi="Arial" w:cs="Arial"/>
          <w:i/>
          <w:sz w:val="20"/>
          <w:szCs w:val="20"/>
        </w:rPr>
      </w:pPr>
      <w:r>
        <w:rPr>
          <w:rFonts w:ascii="Arial" w:hAnsi="Arial" w:cs="Arial"/>
          <w:i/>
          <w:sz w:val="20"/>
          <w:szCs w:val="20"/>
        </w:rPr>
        <w:t>1. Introduzione</w:t>
      </w:r>
    </w:p>
    <w:p w:rsidR="00B576FB" w:rsidRDefault="00B576FB" w:rsidP="00B576FB">
      <w:pPr>
        <w:spacing w:line="360" w:lineRule="auto"/>
        <w:ind w:left="360" w:right="92"/>
        <w:jc w:val="both"/>
        <w:rPr>
          <w:rFonts w:ascii="Arial" w:hAnsi="Arial" w:cs="Arial"/>
          <w:i/>
          <w:sz w:val="20"/>
          <w:szCs w:val="20"/>
        </w:rPr>
      </w:pPr>
      <w:r>
        <w:rPr>
          <w:rFonts w:ascii="Arial" w:hAnsi="Arial" w:cs="Arial"/>
          <w:i/>
          <w:sz w:val="20"/>
          <w:szCs w:val="20"/>
        </w:rPr>
        <w:t>2. L’assicurazione dei crediti all’esportazione</w:t>
      </w:r>
    </w:p>
    <w:p w:rsidR="00B576FB" w:rsidRDefault="00B576FB" w:rsidP="00B576FB">
      <w:pPr>
        <w:ind w:left="360" w:right="92"/>
        <w:rPr>
          <w:rFonts w:ascii="Arial" w:hAnsi="Arial" w:cs="Arial"/>
          <w:i/>
          <w:sz w:val="20"/>
          <w:szCs w:val="20"/>
        </w:rPr>
      </w:pPr>
      <w:r>
        <w:rPr>
          <w:rFonts w:ascii="Arial" w:hAnsi="Arial" w:cs="Arial"/>
          <w:i/>
          <w:sz w:val="20"/>
          <w:szCs w:val="20"/>
        </w:rPr>
        <w:t>3. Il sostegno pubblico a tutela dei crediti derivanti da esportazioni e la normativa comunitaria.</w:t>
      </w:r>
    </w:p>
    <w:p w:rsidR="00B576FB" w:rsidRDefault="00B576FB" w:rsidP="00B576FB">
      <w:pPr>
        <w:spacing w:before="100" w:after="100" w:line="360" w:lineRule="auto"/>
        <w:ind w:left="360" w:right="92"/>
        <w:jc w:val="both"/>
        <w:rPr>
          <w:rFonts w:ascii="Arial" w:hAnsi="Arial" w:cs="Arial"/>
          <w:i/>
          <w:sz w:val="20"/>
          <w:szCs w:val="20"/>
        </w:rPr>
      </w:pPr>
      <w:r>
        <w:rPr>
          <w:rFonts w:ascii="Arial" w:hAnsi="Arial" w:cs="Arial"/>
          <w:i/>
          <w:sz w:val="20"/>
          <w:szCs w:val="20"/>
        </w:rPr>
        <w:t>4. Il sostegno pubblico: gli strumenti Sace</w:t>
      </w:r>
    </w:p>
    <w:p w:rsidR="00B576FB" w:rsidRDefault="00B576FB" w:rsidP="00B576FB">
      <w:pPr>
        <w:autoSpaceDE w:val="0"/>
        <w:autoSpaceDN w:val="0"/>
        <w:adjustRightInd w:val="0"/>
        <w:spacing w:line="360" w:lineRule="auto"/>
        <w:ind w:left="360" w:right="92"/>
        <w:jc w:val="both"/>
        <w:rPr>
          <w:rFonts w:ascii="Arial" w:hAnsi="Arial" w:cs="Arial"/>
          <w:i/>
          <w:sz w:val="20"/>
          <w:szCs w:val="20"/>
        </w:rPr>
      </w:pPr>
      <w:r>
        <w:rPr>
          <w:rFonts w:ascii="Arial" w:hAnsi="Arial" w:cs="Arial"/>
          <w:i/>
          <w:sz w:val="20"/>
          <w:szCs w:val="20"/>
        </w:rPr>
        <w:t>5. Sace: Prodotti Assicurativi e finanziari a tutela dei rischi di mancato pagamento</w:t>
      </w:r>
    </w:p>
    <w:p w:rsidR="00B576FB" w:rsidRDefault="00B576FB" w:rsidP="00B576FB">
      <w:pPr>
        <w:autoSpaceDE w:val="0"/>
        <w:autoSpaceDN w:val="0"/>
        <w:adjustRightInd w:val="0"/>
        <w:spacing w:line="360" w:lineRule="auto"/>
        <w:ind w:left="360" w:right="92"/>
        <w:jc w:val="both"/>
        <w:rPr>
          <w:rFonts w:ascii="Arial" w:hAnsi="Arial" w:cs="Arial"/>
          <w:i/>
          <w:sz w:val="20"/>
          <w:szCs w:val="20"/>
        </w:rPr>
      </w:pPr>
      <w:r>
        <w:rPr>
          <w:rFonts w:ascii="Arial" w:hAnsi="Arial" w:cs="Arial"/>
          <w:i/>
          <w:sz w:val="20"/>
          <w:szCs w:val="20"/>
        </w:rPr>
        <w:t>6. Sace: Prodotti Bancari</w:t>
      </w:r>
    </w:p>
    <w:p w:rsidR="00B576FB" w:rsidRDefault="00B576FB" w:rsidP="00B576FB">
      <w:pPr>
        <w:autoSpaceDE w:val="0"/>
        <w:autoSpaceDN w:val="0"/>
        <w:adjustRightInd w:val="0"/>
        <w:spacing w:line="360" w:lineRule="auto"/>
        <w:ind w:left="360" w:right="92"/>
        <w:jc w:val="both"/>
        <w:rPr>
          <w:rFonts w:ascii="Arial" w:hAnsi="Arial" w:cs="Arial"/>
          <w:i/>
          <w:sz w:val="20"/>
          <w:szCs w:val="20"/>
        </w:rPr>
      </w:pPr>
      <w:r>
        <w:rPr>
          <w:rFonts w:ascii="Arial" w:hAnsi="Arial" w:cs="Arial"/>
          <w:i/>
          <w:sz w:val="20"/>
          <w:szCs w:val="20"/>
        </w:rPr>
        <w:t>7. Sace: Garanzie finanziarie e cauzioni</w:t>
      </w:r>
    </w:p>
    <w:p w:rsidR="00B576FB" w:rsidRDefault="00B576FB" w:rsidP="00B576FB">
      <w:pPr>
        <w:autoSpaceDE w:val="0"/>
        <w:autoSpaceDN w:val="0"/>
        <w:adjustRightInd w:val="0"/>
        <w:spacing w:line="360" w:lineRule="auto"/>
        <w:ind w:left="360" w:right="92"/>
        <w:jc w:val="both"/>
        <w:rPr>
          <w:rFonts w:ascii="Arial" w:hAnsi="Arial" w:cs="Arial"/>
          <w:i/>
          <w:sz w:val="20"/>
          <w:szCs w:val="20"/>
        </w:rPr>
      </w:pPr>
      <w:r>
        <w:rPr>
          <w:rFonts w:ascii="Arial" w:hAnsi="Arial" w:cs="Arial"/>
          <w:i/>
          <w:sz w:val="20"/>
          <w:szCs w:val="20"/>
        </w:rPr>
        <w:t>8. Sace: Prodotti per migliorare le condizioni di accesso al credito bancario</w:t>
      </w:r>
    </w:p>
    <w:p w:rsidR="00B576FB" w:rsidRDefault="00B576FB" w:rsidP="00B576FB">
      <w:pPr>
        <w:autoSpaceDE w:val="0"/>
        <w:autoSpaceDN w:val="0"/>
        <w:adjustRightInd w:val="0"/>
        <w:spacing w:line="360" w:lineRule="auto"/>
        <w:ind w:left="360" w:right="92"/>
        <w:jc w:val="both"/>
        <w:rPr>
          <w:rFonts w:ascii="Arial" w:hAnsi="Arial" w:cs="Arial"/>
          <w:i/>
          <w:sz w:val="20"/>
          <w:szCs w:val="20"/>
        </w:rPr>
      </w:pPr>
      <w:r>
        <w:rPr>
          <w:rFonts w:ascii="Arial" w:hAnsi="Arial" w:cs="Arial"/>
          <w:i/>
          <w:sz w:val="20"/>
          <w:szCs w:val="20"/>
        </w:rPr>
        <w:t>9. Sace: Prodotti finalizzati alla protezione degli investimenti all’estero</w:t>
      </w:r>
    </w:p>
    <w:p w:rsidR="00B576FB" w:rsidRDefault="00B576FB" w:rsidP="00B576FB">
      <w:pPr>
        <w:autoSpaceDE w:val="0"/>
        <w:autoSpaceDN w:val="0"/>
        <w:adjustRightInd w:val="0"/>
        <w:spacing w:line="360" w:lineRule="auto"/>
        <w:ind w:left="360" w:right="92"/>
        <w:jc w:val="both"/>
        <w:rPr>
          <w:rFonts w:ascii="Arial" w:hAnsi="Arial" w:cs="Arial"/>
          <w:i/>
          <w:sz w:val="20"/>
          <w:szCs w:val="20"/>
        </w:rPr>
      </w:pPr>
      <w:r>
        <w:rPr>
          <w:rFonts w:ascii="Arial" w:hAnsi="Arial" w:cs="Arial"/>
          <w:i/>
          <w:sz w:val="20"/>
          <w:szCs w:val="20"/>
        </w:rPr>
        <w:t>10. Sace: Prodotti per migliorare la liquidità aziendale</w:t>
      </w:r>
    </w:p>
    <w:p w:rsidR="00B576FB" w:rsidRDefault="00B576FB" w:rsidP="00B576FB">
      <w:pPr>
        <w:tabs>
          <w:tab w:val="left" w:pos="9180"/>
        </w:tabs>
        <w:spacing w:line="360" w:lineRule="auto"/>
        <w:ind w:right="-82"/>
        <w:jc w:val="both"/>
        <w:rPr>
          <w:rFonts w:ascii="Arial" w:hAnsi="Arial" w:cs="Arial"/>
          <w:b/>
          <w:sz w:val="20"/>
          <w:szCs w:val="20"/>
        </w:rPr>
      </w:pPr>
      <w:r>
        <w:rPr>
          <w:rFonts w:ascii="Arial" w:hAnsi="Arial" w:cs="Arial"/>
          <w:b/>
          <w:sz w:val="20"/>
          <w:szCs w:val="20"/>
        </w:rPr>
        <w:br w:type="page"/>
      </w:r>
    </w:p>
    <w:p w:rsidR="00B576FB" w:rsidRDefault="00B576FB" w:rsidP="00B576FB">
      <w:pPr>
        <w:numPr>
          <w:ilvl w:val="0"/>
          <w:numId w:val="1"/>
        </w:numPr>
        <w:tabs>
          <w:tab w:val="left" w:pos="9180"/>
        </w:tabs>
        <w:spacing w:after="0" w:line="360" w:lineRule="auto"/>
        <w:ind w:right="-82"/>
        <w:jc w:val="both"/>
        <w:rPr>
          <w:rFonts w:ascii="Arial" w:hAnsi="Arial" w:cs="Arial"/>
          <w:b/>
          <w:sz w:val="20"/>
          <w:szCs w:val="20"/>
        </w:rPr>
      </w:pPr>
      <w:r>
        <w:rPr>
          <w:rFonts w:ascii="Arial" w:hAnsi="Arial" w:cs="Arial"/>
          <w:b/>
          <w:sz w:val="20"/>
          <w:szCs w:val="20"/>
        </w:rPr>
        <w:lastRenderedPageBreak/>
        <w:t>Introduzione e panoramica generale</w:t>
      </w:r>
    </w:p>
    <w:p w:rsidR="00B576FB" w:rsidRDefault="00B576FB" w:rsidP="00B576FB">
      <w:pPr>
        <w:tabs>
          <w:tab w:val="left" w:pos="9180"/>
          <w:tab w:val="left" w:pos="9360"/>
        </w:tabs>
        <w:spacing w:line="360" w:lineRule="auto"/>
        <w:ind w:right="-82"/>
        <w:jc w:val="both"/>
        <w:rPr>
          <w:rFonts w:ascii="Arial" w:hAnsi="Arial" w:cs="Arial"/>
          <w:sz w:val="20"/>
          <w:szCs w:val="20"/>
        </w:rPr>
      </w:pPr>
      <w:r>
        <w:rPr>
          <w:rFonts w:ascii="Arial" w:hAnsi="Arial" w:cs="Arial"/>
          <w:sz w:val="20"/>
          <w:szCs w:val="20"/>
        </w:rPr>
        <w:t>Il sistema agevolativo pubblico per i processi di internazionalizzazione viene gestito, per la maggior parte delle iniziative, dalla Simest spa, società finanziaria controllata dal Ministero dello Sviluppo Economico, con la partecipazione inoltre di alcune primarie banche nonché di associazioni imprenditoriali e di categoria il cui compito è lo sviluppo e la promozione delle imprese italiane all’estero. Nata nel 1990, promuove gli investimenti italiani e gestisce le agevolazioni a sostegno delle attività di internazionalizzazione delle imprese italiane dal finanziamento degli studi di fattibilità, alla partecipazione al capitale sociale e agevolazione per gli investimenti all’estero, all’agevolazione sui crediti all’esportazione, ai servizi di assistenza alle imprese.</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Simest costituisce un interlocutore a cui tutte le imprese italiane possono fare riferimento: essendo parte dell’INTERACT-EDFI, l’associazione europea delle finanziarie di sviluppo, è in grado di attivare una rete di relazioni e informazioni in Italia e nel mondo, da mettere a disposizione delle imprese italiane per le loro attività all’estero.</w:t>
      </w:r>
    </w:p>
    <w:p w:rsidR="00B576FB" w:rsidRDefault="00B576FB" w:rsidP="00B576FB">
      <w:pPr>
        <w:tabs>
          <w:tab w:val="left" w:pos="9180"/>
          <w:tab w:val="left" w:pos="9360"/>
        </w:tabs>
        <w:spacing w:line="360" w:lineRule="auto"/>
        <w:ind w:right="-82"/>
        <w:jc w:val="both"/>
        <w:rPr>
          <w:rFonts w:ascii="Arial" w:hAnsi="Arial" w:cs="Arial"/>
          <w:sz w:val="20"/>
          <w:szCs w:val="20"/>
        </w:rPr>
      </w:pPr>
      <w:r>
        <w:rPr>
          <w:rFonts w:ascii="Arial" w:hAnsi="Arial" w:cs="Arial"/>
          <w:sz w:val="20"/>
          <w:szCs w:val="20"/>
        </w:rPr>
        <w:t>Le iniziative finanziabili sono state oggetto di alcune revisioni negli ultimi anni, revisioni che    hanno avvicinato la legislazione alle mutate esigenze delle imprese (ad es. in relazione all’inserimento sui mercati esteri, è previsto ora il coesistere di più Paesi all’interno dello stesso Progetto e la possibilità di una riduzione del 50% delle garanzie richieste per le PMI più affidabili).</w:t>
      </w:r>
    </w:p>
    <w:p w:rsidR="00B576FB" w:rsidRDefault="00B576FB" w:rsidP="00B576FB">
      <w:pPr>
        <w:tabs>
          <w:tab w:val="left" w:pos="9180"/>
          <w:tab w:val="left" w:pos="9360"/>
        </w:tabs>
        <w:spacing w:line="360" w:lineRule="auto"/>
        <w:ind w:right="-82"/>
        <w:jc w:val="both"/>
        <w:rPr>
          <w:rFonts w:ascii="Arial" w:hAnsi="Arial" w:cs="Arial"/>
          <w:sz w:val="20"/>
          <w:szCs w:val="20"/>
        </w:rPr>
      </w:pPr>
      <w:r>
        <w:rPr>
          <w:rFonts w:ascii="Arial" w:hAnsi="Arial" w:cs="Arial"/>
          <w:sz w:val="20"/>
          <w:szCs w:val="20"/>
        </w:rPr>
        <w:t>Prima di passare all’esposizione analitica delle possibilità di sostegno offerte è però opportuno svolgere alcune riflessioni:</w:t>
      </w:r>
    </w:p>
    <w:p w:rsidR="00B576FB" w:rsidRDefault="00B576FB" w:rsidP="00B576FB">
      <w:pPr>
        <w:tabs>
          <w:tab w:val="left" w:pos="9360"/>
        </w:tabs>
        <w:spacing w:line="360" w:lineRule="auto"/>
        <w:ind w:right="-82"/>
        <w:jc w:val="both"/>
        <w:rPr>
          <w:rFonts w:ascii="Arial" w:hAnsi="Arial" w:cs="Arial"/>
          <w:sz w:val="20"/>
          <w:szCs w:val="20"/>
        </w:rPr>
      </w:pPr>
      <w:r>
        <w:rPr>
          <w:rFonts w:ascii="Arial" w:hAnsi="Arial" w:cs="Arial"/>
          <w:sz w:val="20"/>
          <w:szCs w:val="20"/>
        </w:rPr>
        <w:t>Molto spesso le imprese, nell’ipotizzare l’iniziativa di sostegno credono che l’unica iniziativa valida consista nel contributo in conto capitale, agevolazione comunemente conosciuta come finanziamento “a fondo perduto”, consistente quindi in un contributo, di importi variabili in percentuale, che verrà erogato e non sarà da restituire. Effettivamente tale agevolazione è molto appetibile in quanto abbatte i costi dell’investimento. Il problema però consiste nel fatto che di solito tale contributo viene erogato alla fine dell’investimento e che necessita di ingenti somme da stanziare  per sostenere il fondo.</w:t>
      </w:r>
    </w:p>
    <w:p w:rsidR="00B576FB" w:rsidRDefault="00B576FB" w:rsidP="00B576FB">
      <w:pPr>
        <w:tabs>
          <w:tab w:val="left" w:pos="9180"/>
        </w:tabs>
        <w:spacing w:line="360" w:lineRule="auto"/>
        <w:ind w:right="-82"/>
        <w:jc w:val="both"/>
        <w:rPr>
          <w:rFonts w:ascii="Arial" w:hAnsi="Arial" w:cs="Arial"/>
          <w:sz w:val="20"/>
          <w:szCs w:val="20"/>
        </w:rPr>
      </w:pPr>
      <w:r>
        <w:rPr>
          <w:rFonts w:ascii="Arial" w:hAnsi="Arial" w:cs="Arial"/>
          <w:sz w:val="20"/>
          <w:szCs w:val="20"/>
        </w:rPr>
        <w:t>Le iniziative che andremo ad analizzare nel prosieguo contemplano invece anche un’altra tipologia di intervento agevolativo, che consiste nel contributo in conto interessi su un finanziamento che prevede la restituzione, seppur dopo un iniziale periodo di pre-ammortamento, ad un tasso di interesse fisso per tutta la durata del finanziamento e a tassi più bassi rispetto ai correnti tassi di interesse bancari.</w:t>
      </w:r>
    </w:p>
    <w:p w:rsidR="00B576FB" w:rsidRDefault="00B576FB" w:rsidP="00B576FB">
      <w:pPr>
        <w:tabs>
          <w:tab w:val="left" w:pos="9180"/>
        </w:tabs>
        <w:spacing w:line="360" w:lineRule="auto"/>
        <w:ind w:right="-82"/>
        <w:jc w:val="both"/>
        <w:rPr>
          <w:rFonts w:ascii="Arial" w:hAnsi="Arial" w:cs="Arial"/>
          <w:sz w:val="20"/>
          <w:szCs w:val="20"/>
        </w:rPr>
      </w:pPr>
      <w:r>
        <w:rPr>
          <w:rFonts w:ascii="Arial" w:hAnsi="Arial" w:cs="Arial"/>
          <w:sz w:val="20"/>
          <w:szCs w:val="20"/>
        </w:rPr>
        <w:t xml:space="preserve">La valenza di tali interventi non viene spesso percepita dagli operatori ed è per questo motivo che, magari con un esempio, è necessario precisare alcuni concetti di percezione non immediata. Immaginiamo una Piccola/media impresa che decide di effettuare un investimento in un Paese Extra Ue, investimento finalizzato ad aumentare la propria presenza commerciale e a creare una propria rete di vendita. In mancanza di agevolazioni l’impresa dovrà sostenere numerosi costi iniziali per poi raccogliere i frutti in un momento successivo. Tali costi sostenuti incidono sullo stato di salute finanziario dell’impresa che, nell’attesa di incrementare le vendite grazie all’investimento effettuato nel nuovo paese, risulta finanziariamente indebolita per quanto riguarda anche la struttura pre-esistente. Se invece l’investimento viene effettuato sulla base di un programma finanziato in conto interessi  l’impresa, pur ricevendo il finanziamento, inizia la restituzione del capitale dopo un tempo X, trascorso il quale, si presume, l’investimento effettuato comincia a </w:t>
      </w:r>
      <w:r>
        <w:rPr>
          <w:rFonts w:ascii="Arial" w:hAnsi="Arial" w:cs="Arial"/>
          <w:sz w:val="20"/>
          <w:szCs w:val="20"/>
        </w:rPr>
        <w:lastRenderedPageBreak/>
        <w:t>dare i suoi frutti. La conseguenza è che la restituzione del capitale investito avverrà, con molta probabilità, con i proventi dell’investimento stesso, incidendo quindi in maniera marginale sulla situazione finanziaria della società. Di fatto l’investimento si ripaga da se. Si tenga conto inoltre che tali interventi richiedono la fornitura di garanzie minori da parte dell’impresa e questo ulteriore aspetto facilita l’accesso al credito da parte dell’impresa.</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 xml:space="preserve">Gli strumenti agevolativi a disposizione dell’impresa sono molteplici e consentono di avere supporto in tutte le diverse fasi del processo di internazionalizzazione, dal finanziamento dello studio di fattibilità dell’investimento al finanziamento dei programmi di sviluppo commerciale, per arrivare fino alla partecipazione di Simest nel capitale sociale di un impresa costituita o acquisita, condividendo, in questo ultimo caso, i rischi dell’investimento stesso. </w:t>
      </w:r>
    </w:p>
    <w:p w:rsidR="00B576FB" w:rsidRDefault="00B576FB" w:rsidP="00B576FB">
      <w:pPr>
        <w:tabs>
          <w:tab w:val="left" w:pos="9180"/>
        </w:tabs>
        <w:spacing w:line="360" w:lineRule="auto"/>
        <w:ind w:right="-82"/>
        <w:jc w:val="both"/>
        <w:rPr>
          <w:rFonts w:ascii="Arial" w:hAnsi="Arial" w:cs="Arial"/>
          <w:sz w:val="20"/>
          <w:szCs w:val="20"/>
        </w:rPr>
      </w:pPr>
      <w:r>
        <w:rPr>
          <w:rFonts w:ascii="Arial" w:hAnsi="Arial" w:cs="Arial"/>
          <w:sz w:val="20"/>
          <w:szCs w:val="20"/>
        </w:rPr>
        <w:t xml:space="preserve">Ulteriori strumenti consentono invece di aver supporto nelle attività di esportazione e, non da ultimo, di ottenere un finanziamento a tassi vantaggiosi per poter patrimonializzare l’impresa stessa.  </w:t>
      </w:r>
    </w:p>
    <w:p w:rsidR="00B576FB" w:rsidRDefault="00B576FB" w:rsidP="00B576FB">
      <w:pPr>
        <w:tabs>
          <w:tab w:val="left" w:pos="9180"/>
        </w:tabs>
        <w:spacing w:line="360" w:lineRule="auto"/>
        <w:ind w:right="-82"/>
        <w:jc w:val="both"/>
        <w:rPr>
          <w:rFonts w:ascii="Arial" w:hAnsi="Arial" w:cs="Arial"/>
          <w:sz w:val="20"/>
          <w:szCs w:val="20"/>
        </w:rPr>
      </w:pPr>
      <w:r>
        <w:rPr>
          <w:rFonts w:ascii="Arial" w:hAnsi="Arial" w:cs="Arial"/>
          <w:sz w:val="20"/>
          <w:szCs w:val="20"/>
        </w:rPr>
        <w:t xml:space="preserve">Per investimenti in Italia e altri Paesi UE è stata estesa da poco l’attività di investment banking svolta anche in ambito UE.  </w:t>
      </w:r>
      <w:smartTag w:uri="urn:schemas-microsoft-com:office:smarttags" w:element="PersonName">
        <w:smartTagPr>
          <w:attr w:name="ProductID" w:val="La Simest"/>
        </w:smartTagPr>
        <w:r>
          <w:rPr>
            <w:rFonts w:ascii="Arial" w:hAnsi="Arial" w:cs="Arial"/>
            <w:sz w:val="20"/>
            <w:szCs w:val="20"/>
          </w:rPr>
          <w:t>La Simest</w:t>
        </w:r>
      </w:smartTag>
      <w:r>
        <w:rPr>
          <w:rFonts w:ascii="Arial" w:hAnsi="Arial" w:cs="Arial"/>
          <w:sz w:val="20"/>
          <w:szCs w:val="20"/>
        </w:rPr>
        <w:t xml:space="preserve"> può infatti acquisire, seppure soltanto a condizioni di mercato, partecipazioni nel capitale sociale di imprese o di loro controllate aventi sede anche all’interno della Unione Europea funzionali all’internazionalizzazione delle stesse imprese.</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Proseguendo troviamo poi gli investimenti in paesi extra UE dove sono previste molteplici possibilità di intervento, consistenti in due diverse possibilità, cumulabili, di acquisizioni da parte della Simest di partecipazione del capitale e agevolazione in conto interessi per la quota di capitale a carico dell’impresa. Per quanto concerne la costituzione di imprese all’estero, gli interventi di SIMEST sono rivolti prevalentemente a quei Paesi che abbiano adottato normative di salvaguardia degli investimenti esteri o, quantomeno, siano firmatari di accordi con il Governo italiano o con organizzazioni internazionali, destinati alla protezione degli investimenti esteri.</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 xml:space="preserve">Ulteriori iniziative invece consentono di sostenere i crediti derivanti da esportazioni di beni prodotti in Italia tramite un contributo agli interessi e agevolazioni per smobilizzare i crediti dilazionati, nonché, ultima novità introdotta di recente, per consentire il consolidamento finanziario delle imprese esportatrici, la possibilità di ottenere un finanziamento per favorire una maggior patrimonializzazione dell’impresa.  </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 xml:space="preserve">Altro ente che consente interventi simili ad alcuni strumenti Simest è </w:t>
      </w:r>
      <w:smartTag w:uri="urn:schemas-microsoft-com:office:smarttags" w:element="PersonName">
        <w:smartTagPr>
          <w:attr w:name="ProductID" w:val="La Finest"/>
        </w:smartTagPr>
        <w:r>
          <w:rPr>
            <w:rFonts w:ascii="Arial" w:hAnsi="Arial" w:cs="Arial"/>
            <w:sz w:val="20"/>
            <w:szCs w:val="20"/>
          </w:rPr>
          <w:t>la Finest</w:t>
        </w:r>
      </w:smartTag>
      <w:r>
        <w:rPr>
          <w:rFonts w:ascii="Arial" w:hAnsi="Arial" w:cs="Arial"/>
          <w:sz w:val="20"/>
          <w:szCs w:val="20"/>
        </w:rPr>
        <w:t xml:space="preserve">, società che opera soltanto nel Nord Est e che sostiene soltanto iniziative in determinate zone geografiche dell’Est Europa come meglio si descriverà in seguito.  </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 xml:space="preserve">Altro ente che prevede interventi di sostegno ai processi di Internazionalizzazione e </w:t>
      </w:r>
      <w:smartTag w:uri="urn:schemas-microsoft-com:office:smarttags" w:element="PersonName">
        <w:smartTagPr>
          <w:attr w:name="ProductID" w:val="la Sace.  Per"/>
        </w:smartTagPr>
        <w:r>
          <w:rPr>
            <w:rFonts w:ascii="Arial" w:hAnsi="Arial" w:cs="Arial"/>
            <w:sz w:val="20"/>
            <w:szCs w:val="20"/>
          </w:rPr>
          <w:t>la Sace.  Per</w:t>
        </w:r>
      </w:smartTag>
      <w:r>
        <w:rPr>
          <w:rFonts w:ascii="Arial" w:hAnsi="Arial" w:cs="Arial"/>
          <w:sz w:val="20"/>
          <w:szCs w:val="20"/>
        </w:rPr>
        <w:t xml:space="preserve"> gli interventi previsti ad opera di Sace si rimanda all’apposito capitolo dedicato.</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 xml:space="preserve">Nel prosieguo la descrizione delle caratteristiche principali degli interventi previsti. </w:t>
      </w:r>
    </w:p>
    <w:p w:rsidR="00B576FB" w:rsidRDefault="00B576FB" w:rsidP="00B576FB">
      <w:pPr>
        <w:spacing w:line="360" w:lineRule="auto"/>
        <w:ind w:right="-82"/>
        <w:jc w:val="both"/>
        <w:rPr>
          <w:rFonts w:ascii="Arial" w:hAnsi="Arial" w:cs="Arial"/>
          <w:sz w:val="20"/>
          <w:szCs w:val="20"/>
        </w:rPr>
      </w:pPr>
    </w:p>
    <w:p w:rsidR="00B576FB" w:rsidRDefault="00B576FB" w:rsidP="00B576FB">
      <w:pPr>
        <w:numPr>
          <w:ilvl w:val="0"/>
          <w:numId w:val="1"/>
        </w:numPr>
        <w:autoSpaceDE w:val="0"/>
        <w:autoSpaceDN w:val="0"/>
        <w:adjustRightInd w:val="0"/>
        <w:spacing w:after="0" w:line="360" w:lineRule="auto"/>
        <w:ind w:right="-82"/>
        <w:jc w:val="both"/>
        <w:rPr>
          <w:rFonts w:ascii="Arial" w:hAnsi="Arial" w:cs="Arial"/>
          <w:b/>
          <w:bCs/>
          <w:sz w:val="20"/>
          <w:szCs w:val="20"/>
        </w:rPr>
      </w:pPr>
      <w:r>
        <w:rPr>
          <w:rFonts w:ascii="Arial" w:hAnsi="Arial" w:cs="Arial"/>
          <w:b/>
          <w:bCs/>
          <w:sz w:val="20"/>
          <w:szCs w:val="20"/>
        </w:rPr>
        <w:t>Gli Strumenti Simest</w:t>
      </w:r>
    </w:p>
    <w:p w:rsidR="00B576FB" w:rsidRDefault="00B576FB" w:rsidP="00B576FB">
      <w:pPr>
        <w:autoSpaceDE w:val="0"/>
        <w:autoSpaceDN w:val="0"/>
        <w:adjustRightInd w:val="0"/>
        <w:spacing w:line="360" w:lineRule="auto"/>
        <w:ind w:right="-82" w:firstLine="360"/>
        <w:jc w:val="both"/>
        <w:rPr>
          <w:rFonts w:ascii="Arial" w:hAnsi="Arial" w:cs="Arial"/>
          <w:b/>
          <w:sz w:val="20"/>
          <w:szCs w:val="20"/>
        </w:rPr>
      </w:pPr>
      <w:r>
        <w:rPr>
          <w:rFonts w:ascii="Arial" w:hAnsi="Arial" w:cs="Arial"/>
          <w:b/>
          <w:bCs/>
          <w:sz w:val="20"/>
          <w:szCs w:val="20"/>
        </w:rPr>
        <w:lastRenderedPageBreak/>
        <w:t xml:space="preserve">2.1 Finanziamento di studi di prefattibilità, fattibilità e programmi di assistenza tecnica collegati ad investimenti italiani all’estero </w:t>
      </w:r>
      <w:r>
        <w:rPr>
          <w:rFonts w:ascii="Arial" w:hAnsi="Arial" w:cs="Arial"/>
          <w:b/>
          <w:sz w:val="20"/>
          <w:szCs w:val="20"/>
        </w:rPr>
        <w:t>(Legge 133/08, art. 6, comma 2, lett. b). Circolare n. 3/2010</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Per quanto riguarda l’analisi dei mercati in cui si intende operare l’iniziativa di agevolazione è quella prevista dalla Legge 133/08, art. 6, comma 2, lett. b, che consente di ottenere un finanziamento agevolato per studi di prefattibilità, fattibilità oppure per lo svolgimento di programmi di assistenza tecnica, purché  collegati ad investimenti da effettuare in paesi extra UE.</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Beneficiari dell’iniziativa possono essere le imprese italiane, loro consorzi o associazioni. Viene data priorità alle PMI.</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L’impresa può ottenere un finanziamento a tasso agevolato, seppur soggetto alla norma comunitaria ”de minimis”. Il finanziamento può coprire fino al 100% delle spese previste dal preventivo di spesa e può essere concesso, per un importo fino a euro 100.000,00 per studi collegati ad investimenti commerciali; euro 200.000,00 per studi collegati ad investimenti produttivi; euro 300.000,00 per  i programmi di assistenza tecnica.</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Tali importi potranno essere utilizzati, nel caso di finanziamento concesso per la realizzazione di  studi di fattibilità per coprire i costi relativi a retribuzioni a personale interno incaricato di svolgere le attività, compensi dovuti a consulenti o ad esperti, viaggi,  purché tali costi risultino strettamente collegati allo studio da effettuare.</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Per l’assistenza tecnica, invece, il finanziamento serve a coprire le spese derivanti dall’attività di training del personale, formazione piuttosto che addestramento, viaggi e altre spese, connesse all’investimento, in relazione al quale è previsto il programma di assistenza.</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Ciascuna tipologia di spesa è soggetta a specifiche limitazioni ex circ. n. 3/2010.</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In entrambi i casi è da tener presente che le spese per consulenze specialistiche, sostenute da personale esterno, non possono superare quelle per personale interno; inoltre devono riguardare tematiche correlabili con lo studio di fattibilità  o con il programma di assistenza tecnica e, soprattutto, essere oggetto di apposito contratto.</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 xml:space="preserve">È possibile richiedere il finanziamento non soltanto per iniziative ancora da effettuare, ma anche nel caso di iniziativa posta in essere in un momento precedente,  ma non più di sei mesi prima della data di presentazione della domanda di finanziamento.  </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Il tasso di interesse praticato, fisso per tutta la durata, è pari al 15% del tasso di riferimento anche se è  prevista una soglia minima pari allo 0,5%.</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Le garanzie richieste, sulla base della delibera del Comitato Simest possono essere fornite con diverse modalità, attraverso una fideiussione bancaria o assicurativa, pegni su titoli, Fideiussioni emesse da Confidi piuttosto che da Intermediari finanziari purché convenzionati con  Simest.</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 xml:space="preserve">A discrezione del Comitato, se il finanziamento è richiesto da una PMI, la garanzia può essere ridotta fino al 50% dell’importo finanziato. </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lastRenderedPageBreak/>
        <w:t xml:space="preserve">Per quanto riguarda la procedura per l’ottenimento è abbastanza snella: l’impresa presenta la richiesta secondo la modulistica ad hoc predisposta con allegata la documentazione indicata e, entro 90 giorni dalla data dell’inoltro, la pratica viene valutata dal Comitato Simest, il quale se ritiene sussistenti i requisiti, delibera in merito al finanziamento e alle garanzie da fornire. Il Finanziamento viene di solito concesso su presentazione spese e rendicontazione, ma è possibile richiedere un anticipo, una volta stipulato il contratto, per un importo pari fino al 70% dell’importo. </w:t>
      </w:r>
    </w:p>
    <w:p w:rsidR="00B576FB" w:rsidRDefault="00B576FB" w:rsidP="00B576FB">
      <w:pPr>
        <w:autoSpaceDE w:val="0"/>
        <w:autoSpaceDN w:val="0"/>
        <w:adjustRightInd w:val="0"/>
        <w:spacing w:line="360" w:lineRule="auto"/>
        <w:ind w:right="-82" w:firstLine="360"/>
        <w:jc w:val="both"/>
        <w:rPr>
          <w:rFonts w:ascii="Arial" w:hAnsi="Arial" w:cs="Arial"/>
          <w:b/>
          <w:sz w:val="20"/>
          <w:szCs w:val="20"/>
        </w:rPr>
      </w:pPr>
    </w:p>
    <w:p w:rsidR="00B576FB" w:rsidRDefault="00B576FB" w:rsidP="00B576FB">
      <w:pPr>
        <w:autoSpaceDE w:val="0"/>
        <w:autoSpaceDN w:val="0"/>
        <w:adjustRightInd w:val="0"/>
        <w:spacing w:line="360" w:lineRule="auto"/>
        <w:ind w:right="-82" w:firstLine="360"/>
        <w:jc w:val="both"/>
        <w:rPr>
          <w:rFonts w:ascii="Arial" w:hAnsi="Arial" w:cs="Arial"/>
          <w:b/>
          <w:bCs/>
          <w:sz w:val="20"/>
          <w:szCs w:val="20"/>
        </w:rPr>
      </w:pPr>
      <w:r>
        <w:rPr>
          <w:rFonts w:ascii="Arial" w:hAnsi="Arial" w:cs="Arial"/>
          <w:b/>
          <w:sz w:val="20"/>
          <w:szCs w:val="20"/>
        </w:rPr>
        <w:t>2.2</w:t>
      </w:r>
      <w:r>
        <w:rPr>
          <w:rFonts w:ascii="Arial" w:hAnsi="Arial" w:cs="Arial"/>
          <w:b/>
          <w:bCs/>
          <w:sz w:val="20"/>
          <w:szCs w:val="20"/>
        </w:rPr>
        <w:t>Finanziamenti agevolati per programmi di inserimento sui mercati esteri</w:t>
      </w:r>
    </w:p>
    <w:p w:rsidR="00B576FB" w:rsidRDefault="00B576FB" w:rsidP="00B576FB">
      <w:pPr>
        <w:autoSpaceDE w:val="0"/>
        <w:autoSpaceDN w:val="0"/>
        <w:adjustRightInd w:val="0"/>
        <w:spacing w:line="360" w:lineRule="auto"/>
        <w:ind w:right="-82" w:firstLine="360"/>
        <w:jc w:val="both"/>
        <w:rPr>
          <w:rFonts w:ascii="Arial" w:hAnsi="Arial" w:cs="Arial"/>
          <w:b/>
          <w:sz w:val="20"/>
          <w:szCs w:val="20"/>
        </w:rPr>
      </w:pPr>
      <w:r>
        <w:rPr>
          <w:rFonts w:ascii="Arial" w:hAnsi="Arial" w:cs="Arial"/>
          <w:b/>
          <w:sz w:val="20"/>
          <w:szCs w:val="20"/>
        </w:rPr>
        <w:t>(Legge n. 133/08, art. 6, comma 2, lett. a). Circolare n. 2/2010</w:t>
      </w:r>
    </w:p>
    <w:p w:rsidR="00B576FB" w:rsidRDefault="00B576FB" w:rsidP="00B576FB">
      <w:pPr>
        <w:spacing w:line="360" w:lineRule="auto"/>
        <w:ind w:right="-82"/>
        <w:jc w:val="both"/>
        <w:rPr>
          <w:rFonts w:ascii="Arial" w:hAnsi="Arial" w:cs="Arial"/>
          <w:sz w:val="20"/>
          <w:szCs w:val="20"/>
        </w:rPr>
      </w:pPr>
      <w:smartTag w:uri="urn:schemas-microsoft-com:office:smarttags" w:element="PersonName">
        <w:smartTagPr>
          <w:attr w:name="ProductID" w:val="La L."/>
        </w:smartTagPr>
        <w:r>
          <w:rPr>
            <w:rFonts w:ascii="Arial" w:hAnsi="Arial" w:cs="Arial"/>
            <w:sz w:val="20"/>
            <w:szCs w:val="20"/>
          </w:rPr>
          <w:t>La L.</w:t>
        </w:r>
      </w:smartTag>
      <w:r>
        <w:rPr>
          <w:rFonts w:ascii="Arial" w:hAnsi="Arial" w:cs="Arial"/>
          <w:sz w:val="20"/>
          <w:szCs w:val="20"/>
        </w:rPr>
        <w:t xml:space="preserve"> 133/08, art. 6, comma 2, lett. a consente invece di ottenere finanziamenti agevolati per programmi di inserimento sui mercati esteri.</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L’impresa in questo caso può ottenere un finanziamento a tasso agevolato, sempre nel rispetto della norma comunitaria sul “de minimis” per lo svolgimento di programmi di inserimento in mercati esteri sia nel caso in cui l’impresa sia già presente nel mercato prescelto sia nel caso di nuovo mercato. Tale agevolazione ha sostituito la vecchia legge 394 del 1981 che disciplinava le iniziative di penetrazione commerciale. Anche in questo caso, come del resto secondo la vecchia legge, le iniziative devono essere realizzate in paesi non appartenenti all’Unione Europea.</w:t>
      </w:r>
    </w:p>
    <w:p w:rsidR="00B576FB" w:rsidRDefault="00B576FB" w:rsidP="00B576FB">
      <w:pPr>
        <w:autoSpaceDE w:val="0"/>
        <w:autoSpaceDN w:val="0"/>
        <w:adjustRightInd w:val="0"/>
        <w:spacing w:line="360" w:lineRule="auto"/>
        <w:ind w:right="-82"/>
        <w:jc w:val="both"/>
        <w:rPr>
          <w:rFonts w:ascii="Arial" w:hAnsi="Arial" w:cs="Arial"/>
          <w:sz w:val="20"/>
          <w:szCs w:val="20"/>
        </w:rPr>
      </w:pPr>
      <w:r>
        <w:rPr>
          <w:rFonts w:ascii="Arial" w:hAnsi="Arial" w:cs="Arial"/>
          <w:sz w:val="20"/>
          <w:szCs w:val="20"/>
        </w:rPr>
        <w:t>La circolare n.2/2010 ha rimodellato le condizioni e le modalità operative per la concessione dei finanziamenti rispetto alla previgente disciplina prevista dalla L. 394/81 consentendo una gestione del finanziamento più snella a semplice rispetto al passato.</w:t>
      </w:r>
    </w:p>
    <w:p w:rsidR="00B576FB" w:rsidRDefault="00B576FB" w:rsidP="00B576FB">
      <w:pPr>
        <w:autoSpaceDE w:val="0"/>
        <w:autoSpaceDN w:val="0"/>
        <w:adjustRightInd w:val="0"/>
        <w:spacing w:line="360" w:lineRule="auto"/>
        <w:ind w:right="-82"/>
        <w:jc w:val="both"/>
        <w:rPr>
          <w:rFonts w:ascii="Arial" w:hAnsi="Arial" w:cs="Arial"/>
          <w:sz w:val="20"/>
          <w:szCs w:val="20"/>
        </w:rPr>
      </w:pPr>
      <w:r>
        <w:rPr>
          <w:rFonts w:ascii="Arial" w:hAnsi="Arial" w:cs="Arial"/>
          <w:sz w:val="20"/>
          <w:szCs w:val="20"/>
        </w:rPr>
        <w:t>La normativa fa riferimento diretto alle “iniziative” che possono usufruire del finanziamento agevolato e non più alle “imprese”, precisando che deve trattarsi di “programmi” con caratteristiche di investimento e realizzati da imprese che abbiano sede legale in Italia. I programmi devono essere finalizzati al lancio ed alla diffusione di nuovi prodotti e servizi oppure, se si tratta di prodotti o servizi già esistenti, il programma deve tendere «all’acquisizione di nuovi mercati».</w:t>
      </w:r>
    </w:p>
    <w:p w:rsidR="00B576FB" w:rsidRDefault="00B576FB" w:rsidP="00B576FB">
      <w:pPr>
        <w:autoSpaceDE w:val="0"/>
        <w:autoSpaceDN w:val="0"/>
        <w:adjustRightInd w:val="0"/>
        <w:spacing w:line="360" w:lineRule="auto"/>
        <w:ind w:right="-82"/>
        <w:jc w:val="both"/>
        <w:rPr>
          <w:rFonts w:ascii="Arial" w:hAnsi="Arial" w:cs="Arial"/>
          <w:sz w:val="20"/>
          <w:szCs w:val="20"/>
        </w:rPr>
      </w:pPr>
      <w:r>
        <w:rPr>
          <w:rFonts w:ascii="Arial" w:hAnsi="Arial" w:cs="Arial"/>
          <w:sz w:val="20"/>
          <w:szCs w:val="20"/>
        </w:rPr>
        <w:t>Il programma deve riguardare la diffusione di:</w:t>
      </w:r>
    </w:p>
    <w:p w:rsidR="00B576FB" w:rsidRDefault="00B576FB" w:rsidP="00B576FB">
      <w:pPr>
        <w:autoSpaceDE w:val="0"/>
        <w:autoSpaceDN w:val="0"/>
        <w:adjustRightInd w:val="0"/>
        <w:spacing w:line="360" w:lineRule="auto"/>
        <w:ind w:right="-82" w:firstLine="360"/>
        <w:jc w:val="both"/>
        <w:rPr>
          <w:rFonts w:ascii="Arial" w:hAnsi="Arial" w:cs="Arial"/>
          <w:sz w:val="20"/>
          <w:szCs w:val="20"/>
        </w:rPr>
      </w:pPr>
      <w:r>
        <w:rPr>
          <w:rFonts w:ascii="Arial" w:hAnsi="Arial" w:cs="Arial"/>
          <w:sz w:val="20"/>
          <w:szCs w:val="20"/>
        </w:rPr>
        <w:t>• beni e servizi prodotti in Italia;</w:t>
      </w:r>
    </w:p>
    <w:p w:rsidR="00B576FB" w:rsidRDefault="00B576FB" w:rsidP="00B576FB">
      <w:pPr>
        <w:autoSpaceDE w:val="0"/>
        <w:autoSpaceDN w:val="0"/>
        <w:adjustRightInd w:val="0"/>
        <w:spacing w:line="360" w:lineRule="auto"/>
        <w:ind w:right="-82" w:firstLine="360"/>
        <w:jc w:val="both"/>
        <w:rPr>
          <w:rFonts w:ascii="Arial" w:hAnsi="Arial" w:cs="Arial"/>
          <w:sz w:val="20"/>
          <w:szCs w:val="20"/>
        </w:rPr>
      </w:pPr>
      <w:r>
        <w:rPr>
          <w:rFonts w:ascii="Arial" w:hAnsi="Arial" w:cs="Arial"/>
          <w:sz w:val="20"/>
          <w:szCs w:val="20"/>
        </w:rPr>
        <w:t>• beni e servizi prodotti in altri Paesi, ma distribuiti con il marchio di imprese italiane.</w:t>
      </w:r>
    </w:p>
    <w:p w:rsidR="00B576FB" w:rsidRDefault="00B576FB" w:rsidP="00B576FB">
      <w:pPr>
        <w:spacing w:line="360" w:lineRule="auto"/>
        <w:ind w:right="-82"/>
        <w:jc w:val="both"/>
        <w:rPr>
          <w:rFonts w:ascii="Arial" w:hAnsi="Arial" w:cs="Arial"/>
          <w:sz w:val="20"/>
          <w:szCs w:val="20"/>
        </w:rPr>
      </w:pP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Tra le iniziative finanziabili spiccano la possibilità di aprire angoli espositivi, negozi, uffici di rappresentanza, magazzini, o corner presso strutture esistenti. È da tener presente che lo spirito della legge è quello di finanziare iniziative tese a favorire la presenza “stabile” dell’impresa nel Paese prescelto.</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 xml:space="preserve">Il finanziamento può essere concesso per un importo pari all’85% delle spese previste, spese che possono riguardare le spese di struttura  (come ad es. i canoni di affitto, le utenze ecc..) , le spese sostenute per la </w:t>
      </w:r>
      <w:r>
        <w:rPr>
          <w:rFonts w:ascii="Arial" w:hAnsi="Arial" w:cs="Arial"/>
          <w:sz w:val="20"/>
          <w:szCs w:val="20"/>
        </w:rPr>
        <w:lastRenderedPageBreak/>
        <w:t>promozione ( fiere, pubblicità, mostre), oppure per interventi vari, voce questa che consente di includere molteplici costi di altra natura ( seppure con una soglia di sbarramento pari ad un ammontare massimo del 25% delle altre voci di spesa).</w:t>
      </w:r>
    </w:p>
    <w:p w:rsidR="00B576FB" w:rsidRDefault="00B576FB" w:rsidP="00B576FB">
      <w:pPr>
        <w:spacing w:line="360" w:lineRule="auto"/>
        <w:ind w:right="-82"/>
        <w:jc w:val="both"/>
        <w:rPr>
          <w:rFonts w:ascii="Arial" w:hAnsi="Arial" w:cs="Arial"/>
          <w:b/>
          <w:sz w:val="20"/>
          <w:szCs w:val="20"/>
        </w:rPr>
      </w:pPr>
      <w:r>
        <w:rPr>
          <w:rFonts w:ascii="Arial" w:hAnsi="Arial" w:cs="Arial"/>
          <w:sz w:val="20"/>
          <w:szCs w:val="20"/>
        </w:rPr>
        <w:t xml:space="preserve">L’impresa, ottenuto il finanziamento deve realizzare il programma preventivamente approvato entro 2 anni. Durante il periodo di realizzazione si pagano soltanto gli interessi di preammortamento mentre la restituzione avviene nei 5 anni successivi alla realizzazione del programma. </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Il tasso di interesse praticato sarà pari al 15% del tasso di riferimento ed anche in questo caso sarà fisso per tutta la durata e comunque non inferiore allo 0.5%.</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Per quanto riguarda le garanzie da fornire vale quanto già detto in proposito degli studi di fattibilità mentre per quanto riguarda la procedura anche in questo caso la domanda, che va inoltrata al Comitato per le Agevolazioni di Simest, viene valutata entro un termine massimo di 90 giorni ma, in caso di ottenimento, la percentuale massime che è possibile richiedere in anticipo è pari al 30% massimo dell’importo del finanziamento.</w:t>
      </w:r>
    </w:p>
    <w:p w:rsidR="00B576FB" w:rsidRDefault="00B576FB" w:rsidP="00B576FB">
      <w:pPr>
        <w:spacing w:line="360" w:lineRule="auto"/>
        <w:ind w:right="-82" w:firstLine="360"/>
        <w:jc w:val="both"/>
        <w:rPr>
          <w:rFonts w:ascii="Arial" w:hAnsi="Arial" w:cs="Arial"/>
          <w:sz w:val="20"/>
          <w:szCs w:val="20"/>
        </w:rPr>
      </w:pPr>
    </w:p>
    <w:p w:rsidR="00B576FB" w:rsidRDefault="00B576FB" w:rsidP="00B576FB">
      <w:pPr>
        <w:spacing w:line="360" w:lineRule="auto"/>
        <w:ind w:right="-82" w:firstLine="360"/>
        <w:jc w:val="both"/>
        <w:rPr>
          <w:rFonts w:ascii="Arial" w:hAnsi="Arial" w:cs="Arial"/>
          <w:b/>
          <w:sz w:val="20"/>
          <w:szCs w:val="20"/>
        </w:rPr>
      </w:pPr>
      <w:r>
        <w:rPr>
          <w:rFonts w:ascii="Arial" w:hAnsi="Arial" w:cs="Arial"/>
          <w:b/>
          <w:sz w:val="20"/>
          <w:szCs w:val="20"/>
        </w:rPr>
        <w:t>2.3 Partecipazione in capitale in ambito UE: D. M. 23/12/2008</w:t>
      </w:r>
    </w:p>
    <w:p w:rsidR="00B576FB" w:rsidRDefault="00B576FB" w:rsidP="00B576FB">
      <w:pPr>
        <w:spacing w:line="360" w:lineRule="auto"/>
        <w:ind w:right="-82"/>
        <w:jc w:val="both"/>
        <w:rPr>
          <w:rFonts w:ascii="Arial" w:hAnsi="Arial" w:cs="Arial"/>
          <w:b/>
          <w:sz w:val="20"/>
          <w:szCs w:val="20"/>
        </w:rPr>
      </w:pPr>
      <w:r>
        <w:rPr>
          <w:rFonts w:ascii="Arial" w:hAnsi="Arial" w:cs="Arial"/>
          <w:sz w:val="20"/>
          <w:szCs w:val="20"/>
        </w:rPr>
        <w:t xml:space="preserve">Altra agevolazione di recente introduzione è data dalla possibilità di ottenere l’intervento di Simest, come vedremo solo in alcuni casi, nella partecipazione al capitale sociale di imprese in ambito UE in base al decreto del Ministero per lo sviluppo economico del 23/12/2008. </w:t>
      </w:r>
    </w:p>
    <w:p w:rsidR="00B576FB" w:rsidRDefault="00B576FB" w:rsidP="00B576FB">
      <w:pPr>
        <w:spacing w:line="360" w:lineRule="auto"/>
        <w:ind w:right="-82"/>
        <w:jc w:val="both"/>
        <w:rPr>
          <w:rFonts w:ascii="Arial" w:hAnsi="Arial" w:cs="Arial"/>
          <w:b/>
          <w:sz w:val="20"/>
          <w:szCs w:val="20"/>
        </w:rPr>
      </w:pPr>
      <w:r>
        <w:rPr>
          <w:rFonts w:ascii="Arial" w:hAnsi="Arial" w:cs="Arial"/>
          <w:sz w:val="20"/>
          <w:szCs w:val="20"/>
        </w:rPr>
        <w:t>In tale caso l’intervento di Simest consiste nell’acquisizione di una partecipazione di minoranza, che non può superare il 49%, al capitale sociale di società italiane o loro controllate in ambito UE, Italia inclusa. È da notare però che in questo caso la partecipazione Simest avviene senza particolari agevolazioni (nel rispetto delle normative comunitarie) e a condizioni di mercato. La partecipazione Simest è finalizzata a sostenere lo sviluppo dell’impresa riguardante investimenti produttivi  oppure programmi di sviluppo di aziende che investono in innovazione e ricerca applicata.</w:t>
      </w:r>
    </w:p>
    <w:p w:rsidR="00B576FB" w:rsidRDefault="00B576FB" w:rsidP="00B576FB">
      <w:pPr>
        <w:spacing w:line="360" w:lineRule="auto"/>
        <w:ind w:right="-82"/>
        <w:jc w:val="both"/>
        <w:rPr>
          <w:rFonts w:ascii="Arial" w:hAnsi="Arial" w:cs="Arial"/>
          <w:b/>
          <w:sz w:val="20"/>
          <w:szCs w:val="20"/>
        </w:rPr>
      </w:pPr>
      <w:r>
        <w:rPr>
          <w:rFonts w:ascii="Arial" w:hAnsi="Arial" w:cs="Arial"/>
          <w:sz w:val="20"/>
          <w:szCs w:val="20"/>
        </w:rPr>
        <w:t xml:space="preserve">Si badi bene che è possibile attivare questo strumento per iniziative che, corrispondenti alle finalità appena riportate, riguardino i settori più disparati, dal manifatturiero all’agricoltura e ai servizi. </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La partecipazione di Simest al capitale può avere una durata massima di 8 anni al termine del quale è previsto il riacquisto della quota Simest da parte della o delle imprese partner alle condizioni precedentemente concordate.  Non sono previste particolari formalità per accedere a tale iniziativa, ma piuttosto un dettagliato report riguardante il progetto.</w:t>
      </w:r>
    </w:p>
    <w:p w:rsidR="00B576FB" w:rsidRDefault="00B576FB" w:rsidP="00B576FB">
      <w:pPr>
        <w:spacing w:line="360" w:lineRule="auto"/>
        <w:ind w:right="-82" w:firstLine="360"/>
        <w:jc w:val="both"/>
        <w:rPr>
          <w:rFonts w:ascii="Arial" w:hAnsi="Arial" w:cs="Arial"/>
          <w:sz w:val="20"/>
          <w:szCs w:val="20"/>
        </w:rPr>
      </w:pPr>
    </w:p>
    <w:p w:rsidR="00B576FB" w:rsidRDefault="00B576FB" w:rsidP="00B576FB">
      <w:pPr>
        <w:spacing w:line="360" w:lineRule="auto"/>
        <w:ind w:right="-82" w:firstLine="360"/>
        <w:jc w:val="both"/>
        <w:rPr>
          <w:rFonts w:ascii="Arial" w:hAnsi="Arial" w:cs="Arial"/>
          <w:sz w:val="20"/>
          <w:szCs w:val="20"/>
        </w:rPr>
      </w:pPr>
    </w:p>
    <w:p w:rsidR="00B576FB" w:rsidRDefault="00B576FB" w:rsidP="00B576FB">
      <w:pPr>
        <w:spacing w:line="360" w:lineRule="auto"/>
        <w:ind w:right="-82" w:firstLine="360"/>
        <w:jc w:val="both"/>
        <w:rPr>
          <w:rFonts w:ascii="Arial" w:hAnsi="Arial" w:cs="Arial"/>
          <w:b/>
          <w:bCs/>
          <w:sz w:val="20"/>
          <w:szCs w:val="20"/>
        </w:rPr>
      </w:pPr>
      <w:r>
        <w:rPr>
          <w:rFonts w:ascii="Arial" w:hAnsi="Arial" w:cs="Arial"/>
          <w:b/>
          <w:bCs/>
          <w:sz w:val="20"/>
          <w:szCs w:val="20"/>
        </w:rPr>
        <w:t>2.4 Finanziamenti agevolati finalizzati a favorire la patrimonializzazione delle PMI esportatrici.  Legge 133 del 2008, art. 6, comma 2, lett. C, delibera CIPE n. 112/09</w:t>
      </w:r>
    </w:p>
    <w:p w:rsidR="00B576FB" w:rsidRDefault="00B576FB" w:rsidP="00B576FB">
      <w:pPr>
        <w:spacing w:line="360" w:lineRule="auto"/>
        <w:ind w:right="-82" w:firstLine="360"/>
        <w:jc w:val="both"/>
        <w:rPr>
          <w:rFonts w:ascii="Arial" w:hAnsi="Arial" w:cs="Arial"/>
          <w:sz w:val="20"/>
          <w:szCs w:val="20"/>
        </w:rPr>
      </w:pPr>
    </w:p>
    <w:p w:rsidR="00B576FB" w:rsidRDefault="00B576FB" w:rsidP="00B576FB">
      <w:pPr>
        <w:tabs>
          <w:tab w:val="left" w:pos="9180"/>
        </w:tabs>
        <w:spacing w:line="360" w:lineRule="auto"/>
        <w:ind w:right="-82"/>
        <w:jc w:val="both"/>
        <w:rPr>
          <w:rFonts w:ascii="Arial" w:hAnsi="Arial" w:cs="Arial"/>
          <w:sz w:val="20"/>
          <w:szCs w:val="20"/>
        </w:rPr>
      </w:pPr>
      <w:smartTag w:uri="urn:schemas-microsoft-com:office:smarttags" w:element="PersonName">
        <w:smartTagPr>
          <w:attr w:name="ProductID" w:val="La Legge"/>
        </w:smartTagPr>
        <w:r>
          <w:rPr>
            <w:rFonts w:ascii="Arial" w:hAnsi="Arial" w:cs="Arial"/>
            <w:sz w:val="20"/>
            <w:szCs w:val="20"/>
          </w:rPr>
          <w:t>La Legge</w:t>
        </w:r>
      </w:smartTag>
      <w:r>
        <w:rPr>
          <w:rFonts w:ascii="Arial" w:hAnsi="Arial" w:cs="Arial"/>
          <w:sz w:val="20"/>
          <w:szCs w:val="20"/>
        </w:rPr>
        <w:t xml:space="preserve"> 133 del 2008, art. 6, comma 2, lett. c - delibera CIPE n. 112/09)  prevede  la possibilità di ottenere finanziamenti agevolati finalizzati a favorire una maggiore patrimonializzazione delle PMI esportatrici.</w:t>
      </w:r>
    </w:p>
    <w:p w:rsidR="00B576FB" w:rsidRDefault="00B576FB" w:rsidP="00B576FB">
      <w:pPr>
        <w:tabs>
          <w:tab w:val="left" w:pos="9180"/>
        </w:tabs>
        <w:spacing w:line="360" w:lineRule="auto"/>
        <w:ind w:right="-82"/>
        <w:jc w:val="both"/>
        <w:rPr>
          <w:rFonts w:ascii="Arial" w:hAnsi="Arial" w:cs="Arial"/>
          <w:sz w:val="20"/>
          <w:szCs w:val="20"/>
        </w:rPr>
      </w:pPr>
      <w:r>
        <w:rPr>
          <w:rFonts w:ascii="Arial" w:hAnsi="Arial" w:cs="Arial"/>
          <w:sz w:val="20"/>
          <w:szCs w:val="20"/>
        </w:rPr>
        <w:t xml:space="preserve">Tale forma di intervento prevede, sempre nel rispetto dei criteri “de minimis” la possibilità per l’impresa di ottenere un finanziamento volto a stimolare, migliorare e salvaguardare la solidità patrimoniale. L’impresa deve essere una PMI secondo i Parametri dimensionali UE e deve aver raggiunto, nell’ultimo triennio,  un fatturato estero medio pari ad almeno il 20% del fatturato totale. Ulteriore requisito richiesto è essere costituiti in forma di Spa al momento dell’erogazione. </w:t>
      </w:r>
    </w:p>
    <w:p w:rsidR="00B576FB" w:rsidRDefault="00B576FB" w:rsidP="00B576FB">
      <w:pPr>
        <w:tabs>
          <w:tab w:val="left" w:pos="9180"/>
        </w:tabs>
        <w:spacing w:line="360" w:lineRule="auto"/>
        <w:ind w:right="-82"/>
        <w:jc w:val="both"/>
        <w:rPr>
          <w:rFonts w:ascii="Arial" w:hAnsi="Arial" w:cs="Arial"/>
          <w:sz w:val="20"/>
          <w:szCs w:val="20"/>
        </w:rPr>
      </w:pPr>
      <w:r>
        <w:rPr>
          <w:rFonts w:ascii="Arial" w:hAnsi="Arial" w:cs="Arial"/>
          <w:sz w:val="20"/>
          <w:szCs w:val="20"/>
        </w:rPr>
        <w:t>L’intervento deve essere finalizzato a raggiungere, mantenere o superare il cosiddetto “livello soglia”, dato dal rapporto tra patrimonio netto e attività immobilizzate nette. Tale rapporto deve essere pari a 0,65. Al fine di evitare utilizzi non virtuosi dello strumento vengono poste alcune limitazioni sull’importo finanziabile, che non può superare la soglia massima dei 500.000 Euro e mantenere il limite del 25% del patrimonio netto dell’impresa richiedente. Lo strumento prevede una prima fase, della durata di due anni, di erogazione e preammortamento del finanziamento, ed una seconda fase, della durata di cinque anni dalla fine del primo periodo, per la restituzione.</w:t>
      </w:r>
    </w:p>
    <w:p w:rsidR="00B576FB" w:rsidRDefault="00B576FB" w:rsidP="00B576FB">
      <w:pPr>
        <w:tabs>
          <w:tab w:val="left" w:pos="9180"/>
        </w:tabs>
        <w:spacing w:line="360" w:lineRule="auto"/>
        <w:ind w:right="-82"/>
        <w:jc w:val="both"/>
        <w:rPr>
          <w:rFonts w:ascii="Arial" w:hAnsi="Arial" w:cs="Arial"/>
          <w:sz w:val="20"/>
          <w:szCs w:val="20"/>
        </w:rPr>
      </w:pPr>
      <w:r>
        <w:rPr>
          <w:rFonts w:ascii="Arial" w:hAnsi="Arial" w:cs="Arial"/>
          <w:sz w:val="20"/>
          <w:szCs w:val="20"/>
        </w:rPr>
        <w:t>Durante la prima fase l’erogazione ed il preammortamento vengono praticati ai normali tassi di riferimento UE, mentre nella seconda fase il tasso applicato è pari al 15% del tasso di riferimento UE e fisso per tutta la durata ma comunque non inferiore allo 0,5 %. Le imprese ammesse all’agevolazione, che al termine della fase di erogazione non raggiungono il livello soglia o registrano una flessione del livello di solidità patrimoniale di ingresso, pur rispettando il livello soglia, sono tenute a rimborsare in un’unica soluzione entro tre mesi dall’avvenuta approvazione e deposito del bilancio del secondo esercizio intero successivo alla data di erogazione, al tasso di riferimento.</w:t>
      </w:r>
    </w:p>
    <w:p w:rsidR="00B576FB" w:rsidRDefault="00B576FB" w:rsidP="00B576FB">
      <w:pPr>
        <w:tabs>
          <w:tab w:val="left" w:pos="9180"/>
        </w:tabs>
        <w:spacing w:line="360" w:lineRule="auto"/>
        <w:ind w:right="-82"/>
        <w:jc w:val="both"/>
        <w:rPr>
          <w:rFonts w:ascii="Arial" w:hAnsi="Arial" w:cs="Arial"/>
          <w:sz w:val="20"/>
          <w:szCs w:val="20"/>
        </w:rPr>
      </w:pPr>
      <w:r>
        <w:rPr>
          <w:rFonts w:ascii="Arial" w:hAnsi="Arial" w:cs="Arial"/>
          <w:sz w:val="20"/>
          <w:szCs w:val="20"/>
        </w:rPr>
        <w:t>Per quanto riguarda le garanzie da fornire nella prima fase, qualora l’impresa richiedente risulti già essere in linea con il livello soglia non dovrà fornire  alcuna garanzia, ma rilasciare alla Simest l’impegno a non ridurre il proprio livello di solidità patrimoniale al di sotto di quello di ingresso.  L’impresa che presenta un livello di ingresso inferiore al livello di soglia deve invece prestare garanzia fideiussoria bancaria o assicurativa.</w:t>
      </w:r>
    </w:p>
    <w:p w:rsidR="00B576FB" w:rsidRDefault="00B576FB" w:rsidP="00B576FB">
      <w:pPr>
        <w:tabs>
          <w:tab w:val="left" w:pos="9180"/>
        </w:tabs>
        <w:spacing w:line="360" w:lineRule="auto"/>
        <w:ind w:right="-82" w:firstLine="360"/>
        <w:jc w:val="both"/>
        <w:rPr>
          <w:rFonts w:ascii="Arial" w:hAnsi="Arial" w:cs="Arial"/>
          <w:sz w:val="20"/>
          <w:szCs w:val="20"/>
        </w:rPr>
      </w:pPr>
    </w:p>
    <w:p w:rsidR="00B576FB" w:rsidRDefault="00B576FB" w:rsidP="00B576FB">
      <w:pPr>
        <w:tabs>
          <w:tab w:val="left" w:pos="9180"/>
        </w:tabs>
        <w:spacing w:line="360" w:lineRule="auto"/>
        <w:ind w:right="-82" w:firstLine="360"/>
        <w:jc w:val="both"/>
        <w:rPr>
          <w:rFonts w:ascii="Arial" w:hAnsi="Arial" w:cs="Arial"/>
          <w:b/>
          <w:sz w:val="20"/>
          <w:szCs w:val="20"/>
        </w:rPr>
      </w:pPr>
      <w:r>
        <w:rPr>
          <w:rFonts w:ascii="Arial" w:hAnsi="Arial" w:cs="Arial"/>
          <w:b/>
          <w:sz w:val="20"/>
          <w:szCs w:val="20"/>
        </w:rPr>
        <w:t>2.5 Il sostegno agli investimenti diretti in paesi extra UE</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 xml:space="preserve">Per quanto riguarda invece il sostegno agli investimenti diretti in paesi extra UE molteplici sono le iniziative predisposte e a disposizione delle imprese: </w:t>
      </w:r>
    </w:p>
    <w:p w:rsidR="00B576FB" w:rsidRDefault="00B576FB" w:rsidP="00B576FB">
      <w:pPr>
        <w:numPr>
          <w:ilvl w:val="0"/>
          <w:numId w:val="2"/>
        </w:numPr>
        <w:spacing w:after="0" w:line="360" w:lineRule="auto"/>
        <w:ind w:right="-82"/>
        <w:jc w:val="both"/>
        <w:rPr>
          <w:rFonts w:ascii="Arial" w:hAnsi="Arial" w:cs="Arial"/>
          <w:sz w:val="20"/>
          <w:szCs w:val="20"/>
        </w:rPr>
      </w:pPr>
      <w:r>
        <w:rPr>
          <w:rFonts w:ascii="Arial" w:hAnsi="Arial" w:cs="Arial"/>
          <w:sz w:val="20"/>
          <w:szCs w:val="20"/>
        </w:rPr>
        <w:t>La partecipazione nel capitale sociale di impresa costituita all'estero, prevista dalla  L.100/90;</w:t>
      </w:r>
    </w:p>
    <w:p w:rsidR="00B576FB" w:rsidRDefault="00B576FB" w:rsidP="00B576FB">
      <w:pPr>
        <w:numPr>
          <w:ilvl w:val="0"/>
          <w:numId w:val="2"/>
        </w:numPr>
        <w:spacing w:after="0" w:line="360" w:lineRule="auto"/>
        <w:ind w:right="-82"/>
        <w:jc w:val="both"/>
        <w:rPr>
          <w:rFonts w:ascii="Arial" w:hAnsi="Arial" w:cs="Arial"/>
          <w:sz w:val="20"/>
          <w:szCs w:val="20"/>
        </w:rPr>
      </w:pPr>
      <w:r>
        <w:rPr>
          <w:rFonts w:ascii="Arial" w:hAnsi="Arial" w:cs="Arial"/>
          <w:sz w:val="20"/>
          <w:szCs w:val="20"/>
        </w:rPr>
        <w:t xml:space="preserve">L’ulteriore partecipazione al capitale sociale attraverso specifici fondi di Venture Capital, per determinate aree geo economiche e che si aggiunge alla partecipazione prevista dalla L.100/90, </w:t>
      </w:r>
    </w:p>
    <w:p w:rsidR="00B576FB" w:rsidRDefault="00B576FB" w:rsidP="00B576FB">
      <w:pPr>
        <w:numPr>
          <w:ilvl w:val="0"/>
          <w:numId w:val="2"/>
        </w:numPr>
        <w:spacing w:after="0" w:line="360" w:lineRule="auto"/>
        <w:ind w:right="-82"/>
        <w:jc w:val="both"/>
        <w:rPr>
          <w:rFonts w:ascii="Arial" w:hAnsi="Arial" w:cs="Arial"/>
          <w:sz w:val="20"/>
          <w:szCs w:val="20"/>
        </w:rPr>
      </w:pPr>
      <w:r>
        <w:rPr>
          <w:rFonts w:ascii="Arial" w:hAnsi="Arial" w:cs="Arial"/>
          <w:sz w:val="20"/>
          <w:szCs w:val="20"/>
        </w:rPr>
        <w:t>nonché la possibilità, offerta sempre dalla Legge 100 ma all’art. 4, che consente all’impresa di ottenere un contributo agli interessi a fronte di finanziamenti concessi all’impresa italiana per la partecipazione al capitale di imprese al di fuori dell'U.E.</w:t>
      </w:r>
    </w:p>
    <w:p w:rsidR="00B576FB" w:rsidRDefault="00B576FB" w:rsidP="00B576FB">
      <w:pPr>
        <w:spacing w:line="360" w:lineRule="auto"/>
        <w:ind w:right="-82"/>
        <w:jc w:val="both"/>
        <w:rPr>
          <w:rFonts w:ascii="Arial" w:hAnsi="Arial" w:cs="Arial"/>
          <w:sz w:val="20"/>
          <w:szCs w:val="20"/>
        </w:rPr>
      </w:pP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La partecipazione di Simest al capitale sociale può riguardare sia imprese di nuova costituzione che l’acquisizione di quote di società già esistenti. La partecipazione di Simest di regola è del 25% del capitale, ma in linea di principio può arrivare fino al 49% del capitale sociale. Tale ipotesi tuttavia si presenta di solito laddove è prevista la partecipazione congiunta sia della normale partecipazione Simest sia l’intervento aggiuntivo del fondo di Venture Capital. Seppur accordando la priorità alle PMI, Simest valuta comunque richieste provenienti da società di capitali, società di persone, cooperative, consorzi, associazioni di imprese.</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Viene preferito, di solito, l’investimento in imprese estere attive nello stesso settore di attività dell’impresa italiana richiedente senza preclusione alcuna per tipologia di settore.</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 xml:space="preserve">La durata massima della partecipazione è pari ad otto anni entro i quali vengono stabilite le modalità di riacquisto della quota detenuta da Simest. </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 xml:space="preserve">Accanto alla partecipazione al capitale sociale è prevista la possibilità di ottenere un contributo agli interessi per il finanziamento concesso per l’acquisto della quota detenuta dall’impresa italiana. </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L’importo agevolabile del finanziamento copre il 90% della quota di partecipazione dell’impresa italiana partner richiedente, fino al 51% del capitale sottoscritto dalla stessa nel capitale sociale dell’impresa estera. Pertanto, qualora la quota di partecipazione superi il 51%, l’importo agevolabile risulterà pari al 90% del 51% del capitale dell’impresa estera. La durata massima del finanziamento bancario agevolabile è invece di 8 anni a partire dalla prima erogazione del finanziamento, compreso un eventuale periodo di preammortamento per un massimo di 3 anni.</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L’agevolazione viene concessa entro i limiti previsti dalle norme comunitarie mentre il tasso di interesse sul finanziamento è liberamente concordato tra l’impresa e la banca finanziatrice.</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La contribuzione SIMEST relativa all’agevolazione è fissa per tutta la durata del finanziamento, ed è pari al 50% del tasso di riferimento previsto dal DPR 902/76 e vigente alla data di stipula del contratto di finanziamento.</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Da ultimo, nel caso di investimenti diretti in Paesi extra Ue , interviene il fondo di Venture Capital il quale prevede una ulteriore partecipazione al capitale sociale che può aggiungersi alla normale quota di partecipazione SIMEST nella società estera prevista dalla legge 100/90. Possono richiedere tale intervento tutte le imprese italiane ed il Fondo, gestito da SIMEST, consente una partecipazione complessiva (SIMEST +Fondo di venture capital) fino a un massimo del 49% del capitale sociale della impresa estera ma in ogni caso non può superare, insieme alla quota della partecipazione SIMEST,  il totale della partecipazione delle imprese italiane nella impresa estera.</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La quota di pertinenza del fondo non può essere superiore al doppio della partecipazione SIMEST, ha una durata analoga alla partecipazione SIMEST e non può comunque superare gli 8 anni, Ulteriore vantaggio è dato dal fatto che il riacquisto da parte delle imprese italiane non richiede garanzie e che l’intervento del Fondo prevede una remunerazione  fissa data dal tasso BCE  più uno spread pari allo 0,5%..</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lastRenderedPageBreak/>
        <w:t xml:space="preserve">Il fondo opera nelle aree dell’Estremo Oriente, Est Europa e Balcani, Africa e Medio oriente, America centrale e meridionale. </w:t>
      </w:r>
    </w:p>
    <w:p w:rsidR="00B576FB" w:rsidRDefault="00B576FB" w:rsidP="00B576FB">
      <w:pPr>
        <w:spacing w:line="360" w:lineRule="auto"/>
        <w:ind w:right="-82"/>
        <w:jc w:val="both"/>
        <w:rPr>
          <w:rFonts w:ascii="Arial" w:hAnsi="Arial" w:cs="Arial"/>
          <w:sz w:val="20"/>
          <w:szCs w:val="20"/>
        </w:rPr>
      </w:pPr>
    </w:p>
    <w:p w:rsidR="00B576FB" w:rsidRDefault="00B576FB" w:rsidP="00B576FB">
      <w:pPr>
        <w:spacing w:line="360" w:lineRule="auto"/>
        <w:ind w:right="-82" w:firstLine="360"/>
        <w:jc w:val="both"/>
        <w:rPr>
          <w:rFonts w:ascii="Arial" w:hAnsi="Arial" w:cs="Arial"/>
          <w:b/>
          <w:sz w:val="20"/>
          <w:szCs w:val="20"/>
        </w:rPr>
      </w:pPr>
      <w:r>
        <w:rPr>
          <w:rFonts w:ascii="Arial" w:hAnsi="Arial" w:cs="Arial"/>
          <w:b/>
          <w:sz w:val="20"/>
          <w:szCs w:val="20"/>
        </w:rPr>
        <w:t>2.6 Crediti all'Esportazione: contributi agli interessi su finanziamenti bancari per esportazioni di beni di investimento D.lgs 143/98, Capo II, ex legge 227/77</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Una ulteriore agevolazione adatta agli esportatori abituali di abituali di beni è quella prevista dal decreto legislativo 143/98, che ricalca quanto era già previsto dalla Legge 227/77 detta anche legge Ossola.</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L'agevolazione consente alle imprese esportatrici italiane di offrire agli acquirenti esteri dilazioni di pagamento a medio o lungo termine a condizioni e tassi di interesse competitivi, in linea con quelli offerti da concorrenti di paesi OCSE.</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 xml:space="preserve">L'intervento è nella forma del contributo agli interessi su finanziamenti concessi da banche italiane o estere a seconda dei casi. Oggetto dell’intervento possono essere le forniture  di macchinari, impianti e servizi, oltre a semilavorati o beni intermedi destinati ad essere parte  integrante in beni di investimento, anche se il finanziamento è in valuta diversa dall’Euro ( purché in una valuta principale) e può riguardare sia finanziamenti concessi da una banca all’impresa italiana esportatrice a fronte del credito derivante dall’operazione sia direttamente alla controparte estera che compra il bene. Il primo caso da luogo all’operazione denominata “credito fornitore” mentre il secondo viene denominato “credito acquirente”. Non ci sono inoltre limitazioni per quanto riguarda i paesi ove l’esportazione è diretta. </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 xml:space="preserve">L’agevolazione riguarda al massimo l’85% dell’importo della fornitura e richiede che almeno il 15% sia pagato dal compratore per contanti. Possono rientrare nell’importo non soltanto il valore dei beni forniti, ma anche i compensi versati a titolo di provvigioni ad agenti o a società intermediarie per la commercializzazione, seppur con un limite pari al 5% del valore della fornitura. La fornitura deve prevedere una dilazione minima di due anni, mentre la durata massima è stabilita, in base ai paesi di destinazione della fornitura e alla tipologia di operazione, direttamente dagli accordi internazionali. L’accordo di riferimento è detto “consensus” e risale al 1977. </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I tassi di interesse minimi (tasso detto CIRR, tasso di riferimento per le esportazioni) sono invece stabiliti dall’OCSE mese per mese in relazione alle diverse valute. Tali tassi di solito corrispondono alle quotazioni dei titoli di credito più uno spread dell’1%. Il tasso , una volta determinato, rimane fisso per tutta la durata del finanziamento.</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 xml:space="preserve">Per quanto riguarda le operazioni di credito Fornitore le forme di finanziamento frequentemente utilizzate riguardano due possibilità: lo sconto, pro solvendo o pro soluto, di titoli di credito  oppure il finanziamento dell’esportatore. Nel primo caso i titoli di credito sono rilasciati dal compratore estero e vengono successivamente smobilizzati sul mercato interno o estero, con la clausola “senza ricorso”. L’operazione di sconto prevede la deduzione in anticipo degli interessi. Su richiesta della banca o dell’esportatore </w:t>
      </w:r>
      <w:smartTag w:uri="urn:schemas-microsoft-com:office:smarttags" w:element="PersonName">
        <w:smartTagPr>
          <w:attr w:name="ProductID" w:val="La Simest"/>
        </w:smartTagPr>
        <w:r>
          <w:rPr>
            <w:rFonts w:ascii="Arial" w:hAnsi="Arial" w:cs="Arial"/>
            <w:sz w:val="20"/>
            <w:szCs w:val="20"/>
          </w:rPr>
          <w:t>la Simest</w:t>
        </w:r>
      </w:smartTag>
      <w:r>
        <w:rPr>
          <w:rFonts w:ascii="Arial" w:hAnsi="Arial" w:cs="Arial"/>
          <w:sz w:val="20"/>
          <w:szCs w:val="20"/>
        </w:rPr>
        <w:t xml:space="preserve"> corrisponde il contributo in conto interessi e il valore attualizzato degli effetti cambiari. Tale operazione è applicabile anche qualora il credito, invece che essere espresso in titoli di credito, sia assistito da lettera di credito piuttosto che da garanzia bancaria autonoma.  Nel caso invece di finanziamento dell’esportatore </w:t>
      </w:r>
      <w:r>
        <w:rPr>
          <w:rFonts w:ascii="Arial" w:hAnsi="Arial" w:cs="Arial"/>
          <w:sz w:val="20"/>
          <w:szCs w:val="20"/>
        </w:rPr>
        <w:lastRenderedPageBreak/>
        <w:t xml:space="preserve">invece quest’ultimo riceve da una banca un’anticipazione a tasso fisso (CIRR) verso il credito concesso all’acquirente. </w:t>
      </w:r>
      <w:smartTag w:uri="urn:schemas-microsoft-com:office:smarttags" w:element="PersonName">
        <w:smartTagPr>
          <w:attr w:name="ProductID" w:val="La Simest"/>
        </w:smartTagPr>
        <w:r>
          <w:rPr>
            <w:rFonts w:ascii="Arial" w:hAnsi="Arial" w:cs="Arial"/>
            <w:sz w:val="20"/>
            <w:szCs w:val="20"/>
          </w:rPr>
          <w:t>La Simest</w:t>
        </w:r>
      </w:smartTag>
      <w:r>
        <w:rPr>
          <w:rFonts w:ascii="Arial" w:hAnsi="Arial" w:cs="Arial"/>
          <w:sz w:val="20"/>
          <w:szCs w:val="20"/>
        </w:rPr>
        <w:t xml:space="preserve"> interviene poi a stabilizzare il tasso con un’operazione grazie alla quale, ogni semestre, viene calcolata la differenza tra il tasso di interesse praticato dalla banca ed il tasso CIRR. Simest poi paga o incassa, a seconda dei casi, la differenza.</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Nell’operazione invece di credito acquirente, a dire il vero meno utilizzata nella pratica, la banca, sia essa italiana o estera, stipula una convenzione con l’acquirente praticando il tasso di interesse CIRR. Con gli importi ricevuti, l’acquirente paga per contanti, a fronte dei documenti di spedizione o esecuzione della fornitura, l’esportatore italiano. Come nel caso precedente Simest interviene per stabilizzare i tassi di interesse praticati.</w:t>
      </w:r>
    </w:p>
    <w:p w:rsidR="00B576FB" w:rsidRDefault="00B576FB" w:rsidP="00B576FB">
      <w:pPr>
        <w:spacing w:line="360" w:lineRule="auto"/>
        <w:ind w:right="-82" w:firstLine="360"/>
        <w:jc w:val="both"/>
        <w:rPr>
          <w:rFonts w:ascii="Arial" w:hAnsi="Arial" w:cs="Arial"/>
          <w:b/>
          <w:bCs/>
          <w:sz w:val="20"/>
          <w:szCs w:val="20"/>
        </w:rPr>
      </w:pPr>
    </w:p>
    <w:p w:rsidR="00B576FB" w:rsidRDefault="00B576FB" w:rsidP="00B576FB">
      <w:pPr>
        <w:spacing w:line="360" w:lineRule="auto"/>
        <w:ind w:right="-82" w:firstLine="360"/>
        <w:jc w:val="both"/>
        <w:rPr>
          <w:rFonts w:ascii="Arial" w:hAnsi="Arial" w:cs="Arial"/>
          <w:sz w:val="20"/>
          <w:szCs w:val="20"/>
        </w:rPr>
      </w:pPr>
      <w:r>
        <w:rPr>
          <w:rFonts w:ascii="Arial" w:hAnsi="Arial" w:cs="Arial"/>
          <w:b/>
          <w:bCs/>
          <w:sz w:val="20"/>
          <w:szCs w:val="20"/>
        </w:rPr>
        <w:t xml:space="preserve">3. </w:t>
      </w:r>
      <w:smartTag w:uri="urn:schemas-microsoft-com:office:smarttags" w:element="PersonName">
        <w:smartTagPr>
          <w:attr w:name="ProductID" w:val="La Finest"/>
        </w:smartTagPr>
        <w:r>
          <w:rPr>
            <w:rFonts w:ascii="Arial" w:hAnsi="Arial" w:cs="Arial"/>
            <w:b/>
            <w:bCs/>
            <w:sz w:val="20"/>
            <w:szCs w:val="20"/>
          </w:rPr>
          <w:t>La Finest</w:t>
        </w:r>
      </w:smartTag>
      <w:r>
        <w:rPr>
          <w:rFonts w:ascii="Arial" w:hAnsi="Arial" w:cs="Arial"/>
          <w:b/>
          <w:bCs/>
          <w:sz w:val="20"/>
          <w:szCs w:val="20"/>
        </w:rPr>
        <w:t xml:space="preserve"> (</w:t>
      </w:r>
      <w:r>
        <w:rPr>
          <w:rFonts w:ascii="Arial" w:hAnsi="Arial" w:cs="Arial"/>
          <w:b/>
          <w:iCs/>
          <w:sz w:val="20"/>
          <w:szCs w:val="20"/>
        </w:rPr>
        <w:t>Società Finanziaria di promozione della cooperazione economica con i Paesi dell’Est europeo)</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FINEST è la finanziaria per gli imprenditori del Nord Est, nata nel 1991 con legge dello Stato (19/1991) al fine di agevolare lo sviluppo delle attività economiche e della cooperazione internazionale nel territorio.</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È una Società per azioni partecipata da Friulia SpA (società finanziaria della Regione Friuli Venezia Giulia), da Veneto Sviluppo (società finanziaria della Regione Veneto), dalla Regione Veneto, dalla Provincia Autonoma di Trento, dalla SIMEST e da alcune banche del territorio; è referente del Ministero per lo Sviluppo Economico.</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 xml:space="preserve">Finest promuove la cooperazione economica con i Paesi dell’Europa centro-orientale e balcanica, </w:t>
      </w:r>
      <w:smartTag w:uri="urn:schemas-microsoft-com:office:smarttags" w:element="PersonName">
        <w:smartTagPr>
          <w:attr w:name="ProductID" w:val="La Russia"/>
        </w:smartTagPr>
        <w:r>
          <w:rPr>
            <w:rFonts w:ascii="Arial" w:hAnsi="Arial" w:cs="Arial"/>
            <w:sz w:val="20"/>
            <w:szCs w:val="20"/>
          </w:rPr>
          <w:t>la Russia</w:t>
        </w:r>
      </w:smartTag>
      <w:r>
        <w:rPr>
          <w:rFonts w:ascii="Arial" w:hAnsi="Arial" w:cs="Arial"/>
          <w:sz w:val="20"/>
          <w:szCs w:val="20"/>
        </w:rPr>
        <w:t xml:space="preserve"> e la comunità degli Stati Indipendenti, il Nord Asia e i territori baltici e caucasici, fornendo alle aziende del Nord-Est gli strumenti finanziari per l’internazionalizzazione in questi Paesi.</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Finanzia con strumenti mirati gli imprenditori che intendono svilupparsi all’estero, offrendo sostegno economico, know-how e consulenza e favorendo l’accesso al credito e alle coperture assicurative.</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In particolare, FINEST entra nel capitale sociale delle aziende che si orientano verso l’internazionalizzazione, in qualunque settore produttivo, partecipando ai loro progetti e coniugando le esigenze dello sviluppo locale con l’apertura al mercato globale.</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 xml:space="preserve">I Paesi in cui può operare </w:t>
      </w:r>
      <w:smartTag w:uri="urn:schemas-microsoft-com:office:smarttags" w:element="PersonName">
        <w:smartTagPr>
          <w:attr w:name="ProductID" w:val="La Finest"/>
        </w:smartTagPr>
        <w:r>
          <w:rPr>
            <w:rFonts w:ascii="Arial" w:hAnsi="Arial" w:cs="Arial"/>
            <w:sz w:val="20"/>
            <w:szCs w:val="20"/>
          </w:rPr>
          <w:t>la FINEST</w:t>
        </w:r>
      </w:smartTag>
      <w:r>
        <w:rPr>
          <w:rFonts w:ascii="Arial" w:hAnsi="Arial" w:cs="Arial"/>
          <w:sz w:val="20"/>
          <w:szCs w:val="20"/>
        </w:rPr>
        <w:t xml:space="preserve"> sono: Albania, Armenia, Azerbaijan, Bielorussia, Bosnia Erzegovina, Bulgaria, Croazia, Estonia, Federazione Russa, Georgia, Kazakistan, Kirghizistan, Kosovo, Lettonia, Lituania, Macedonia, Moldova, Mongolia, Montenegro, Polonia, Repubblica Ceca, Repubblica Slovacca, Romania, Serbia, Slovenia, Tajikistan, Turkmenistan, Ucraina, Ungheria, Uzbekistan.</w:t>
      </w:r>
    </w:p>
    <w:p w:rsidR="00B576FB" w:rsidRDefault="00B576FB" w:rsidP="00B576FB">
      <w:pPr>
        <w:spacing w:line="360" w:lineRule="auto"/>
        <w:ind w:right="-82"/>
        <w:jc w:val="both"/>
        <w:rPr>
          <w:rFonts w:ascii="Arial" w:hAnsi="Arial" w:cs="Arial"/>
          <w:sz w:val="20"/>
          <w:szCs w:val="20"/>
        </w:rPr>
      </w:pPr>
      <w:r>
        <w:rPr>
          <w:rFonts w:ascii="Arial" w:hAnsi="Arial" w:cs="Arial"/>
          <w:bCs/>
          <w:sz w:val="20"/>
          <w:szCs w:val="20"/>
        </w:rPr>
        <w:t xml:space="preserve">Beneficiari dellepartecipazioni ed agevolazioni di Finest sono le </w:t>
      </w:r>
      <w:r>
        <w:rPr>
          <w:rFonts w:ascii="Arial" w:hAnsi="Arial" w:cs="Arial"/>
          <w:sz w:val="20"/>
          <w:szCs w:val="20"/>
        </w:rPr>
        <w:t>imprese aventi stabile e prevalente organizzazione nelle Regioni del Friuli Venezia Giulia, Veneto e Trentino Alto Adige, ovvero imprese aventi stabile organizzazione in uno Stato dell’Unione Europea, purché controllate da imprese residente nelle suddette Regioni.</w:t>
      </w:r>
    </w:p>
    <w:p w:rsidR="00B576FB" w:rsidRDefault="00B576FB" w:rsidP="00B576FB">
      <w:pPr>
        <w:spacing w:line="360" w:lineRule="auto"/>
        <w:ind w:right="-82"/>
        <w:jc w:val="both"/>
        <w:rPr>
          <w:rFonts w:ascii="Arial" w:hAnsi="Arial" w:cs="Arial"/>
          <w:sz w:val="20"/>
          <w:szCs w:val="20"/>
        </w:rPr>
      </w:pPr>
      <w:r>
        <w:rPr>
          <w:rFonts w:ascii="Arial" w:hAnsi="Arial" w:cs="Arial"/>
          <w:bCs/>
          <w:sz w:val="20"/>
          <w:szCs w:val="20"/>
        </w:rPr>
        <w:lastRenderedPageBreak/>
        <w:t xml:space="preserve">L’intervento </w:t>
      </w:r>
      <w:r>
        <w:rPr>
          <w:rFonts w:ascii="Arial" w:hAnsi="Arial" w:cs="Arial"/>
          <w:sz w:val="20"/>
          <w:szCs w:val="20"/>
        </w:rPr>
        <w:t xml:space="preserve">FINEST consiste nella partecipazione al Capitale Sociale delle aziende fino al 25%. (qualora ci sia un intervento congiunto FINEST-SIMEST al capitale sociale il tetto massimo di partecipazione al capitale sociale della società estera è elevabile al 40%) per una </w:t>
      </w:r>
      <w:r>
        <w:rPr>
          <w:rFonts w:ascii="Arial" w:hAnsi="Arial" w:cs="Arial"/>
          <w:bCs/>
          <w:sz w:val="20"/>
          <w:szCs w:val="20"/>
        </w:rPr>
        <w:t xml:space="preserve">durata </w:t>
      </w:r>
      <w:r>
        <w:rPr>
          <w:rFonts w:ascii="Arial" w:hAnsi="Arial" w:cs="Arial"/>
          <w:sz w:val="20"/>
          <w:szCs w:val="20"/>
        </w:rPr>
        <w:t>massima è di 8 anni.</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Le agevolazioni connesse alla legge 100/90 non si applicano per gli interventi nei Paesi UE, benchè rientranti tra quelli di operatività FINEST.</w:t>
      </w:r>
    </w:p>
    <w:p w:rsidR="00B576FB" w:rsidRDefault="00B576FB" w:rsidP="00B576FB">
      <w:pPr>
        <w:tabs>
          <w:tab w:val="left" w:pos="9180"/>
        </w:tabs>
        <w:autoSpaceDE w:val="0"/>
        <w:autoSpaceDN w:val="0"/>
        <w:adjustRightInd w:val="0"/>
        <w:spacing w:line="360" w:lineRule="auto"/>
        <w:ind w:right="-82"/>
        <w:jc w:val="both"/>
        <w:rPr>
          <w:rFonts w:ascii="Arial" w:hAnsi="Arial" w:cs="Arial"/>
          <w:sz w:val="20"/>
          <w:szCs w:val="20"/>
        </w:rPr>
      </w:pPr>
      <w:r>
        <w:rPr>
          <w:rFonts w:ascii="Arial" w:hAnsi="Arial" w:cs="Arial"/>
          <w:sz w:val="20"/>
          <w:szCs w:val="20"/>
        </w:rPr>
        <w:t>Alcune particolarità:</w:t>
      </w:r>
    </w:p>
    <w:p w:rsidR="00B576FB" w:rsidRDefault="00B576FB" w:rsidP="00B576FB">
      <w:pPr>
        <w:numPr>
          <w:ilvl w:val="0"/>
          <w:numId w:val="3"/>
        </w:numPr>
        <w:tabs>
          <w:tab w:val="left" w:pos="1418"/>
        </w:tabs>
        <w:autoSpaceDE w:val="0"/>
        <w:autoSpaceDN w:val="0"/>
        <w:adjustRightInd w:val="0"/>
        <w:spacing w:after="0" w:line="360" w:lineRule="auto"/>
        <w:ind w:right="-82" w:firstLine="360"/>
        <w:jc w:val="both"/>
        <w:rPr>
          <w:rFonts w:ascii="Arial" w:hAnsi="Arial" w:cs="Arial"/>
          <w:sz w:val="20"/>
          <w:szCs w:val="20"/>
        </w:rPr>
      </w:pPr>
      <w:r>
        <w:rPr>
          <w:rFonts w:ascii="Arial" w:hAnsi="Arial" w:cs="Arial"/>
          <w:bCs/>
          <w:sz w:val="20"/>
          <w:szCs w:val="20"/>
        </w:rPr>
        <w:t xml:space="preserve">Per le Pmi del nord–est proponenti </w:t>
      </w:r>
      <w:r>
        <w:rPr>
          <w:rFonts w:ascii="Arial" w:hAnsi="Arial" w:cs="Arial"/>
          <w:sz w:val="20"/>
          <w:szCs w:val="20"/>
        </w:rPr>
        <w:t>il limite della partecipazione di FINEST è stato esteso dalla delibera CIPE n.54 del 2003 dal 25% al 49% (partecipazione di minoranza) con un importo massimo di 260.000 € per singola operazione.</w:t>
      </w:r>
    </w:p>
    <w:p w:rsidR="00B576FB" w:rsidRDefault="00B576FB" w:rsidP="00B576FB">
      <w:pPr>
        <w:numPr>
          <w:ilvl w:val="0"/>
          <w:numId w:val="3"/>
        </w:numPr>
        <w:autoSpaceDE w:val="0"/>
        <w:autoSpaceDN w:val="0"/>
        <w:adjustRightInd w:val="0"/>
        <w:spacing w:after="0" w:line="360" w:lineRule="auto"/>
        <w:ind w:right="-82" w:firstLine="360"/>
        <w:jc w:val="both"/>
        <w:rPr>
          <w:rFonts w:ascii="Arial" w:hAnsi="Arial" w:cs="Arial"/>
          <w:sz w:val="20"/>
          <w:szCs w:val="20"/>
        </w:rPr>
      </w:pPr>
      <w:r>
        <w:rPr>
          <w:rFonts w:ascii="Arial" w:hAnsi="Arial" w:cs="Arial"/>
          <w:sz w:val="20"/>
          <w:szCs w:val="20"/>
        </w:rPr>
        <w:t xml:space="preserve">Per i </w:t>
      </w:r>
      <w:r>
        <w:rPr>
          <w:rFonts w:ascii="Arial" w:hAnsi="Arial" w:cs="Arial"/>
          <w:bCs/>
          <w:sz w:val="20"/>
          <w:szCs w:val="20"/>
        </w:rPr>
        <w:t>Fondi di venture Capital</w:t>
      </w:r>
      <w:r>
        <w:rPr>
          <w:rFonts w:ascii="Arial" w:hAnsi="Arial" w:cs="Arial"/>
          <w:sz w:val="20"/>
          <w:szCs w:val="20"/>
        </w:rPr>
        <w:t xml:space="preserve"> il Ministero dello Sviluppo Economico ha messo a disposizione circa 235 milioni € da destinarsi ai progetti Venture Capital in Est Europa, Cina, India e bacino del Mediterraneo. La gestione dei Fondi è stata demandata a SIMEST e FINEST e la loro attivazione è possibile solo nel caso in cui sia prevista la partecipazione di uno dei due enti nel Capitale Sociale dell’impresa estera. La partecipazione pubblica può arrivare fino a un massimo del 49% delle imprese estere (intervento SIMEST/FINEST + Fondo di Venture Capital). Per la quota del fondo è previsto un semplice patto di riacquisto in capo alla società proponente italiana (senza la necessità di garanzie collaterali). Il costo annuo fisso, pari al Tasso Ufficiale di Riferimento della BCE +1/2 punto, viene sostenuto dalla casamadre italiana, il valore di uscita previsto corrisponde al valore del patrimonio netto rivalutato.</w:t>
      </w:r>
    </w:p>
    <w:p w:rsidR="00B576FB" w:rsidRDefault="00B576FB" w:rsidP="00B576FB">
      <w:pPr>
        <w:tabs>
          <w:tab w:val="left" w:pos="9180"/>
        </w:tabs>
        <w:autoSpaceDE w:val="0"/>
        <w:autoSpaceDN w:val="0"/>
        <w:adjustRightInd w:val="0"/>
        <w:spacing w:line="360" w:lineRule="auto"/>
        <w:ind w:right="-82" w:firstLine="360"/>
        <w:jc w:val="both"/>
        <w:rPr>
          <w:rFonts w:ascii="Arial" w:hAnsi="Arial" w:cs="Arial"/>
          <w:sz w:val="20"/>
          <w:szCs w:val="20"/>
        </w:rPr>
      </w:pPr>
    </w:p>
    <w:p w:rsidR="00B576FB" w:rsidRDefault="00B576FB" w:rsidP="00B576FB">
      <w:pPr>
        <w:tabs>
          <w:tab w:val="left" w:pos="9180"/>
        </w:tabs>
        <w:autoSpaceDE w:val="0"/>
        <w:autoSpaceDN w:val="0"/>
        <w:adjustRightInd w:val="0"/>
        <w:spacing w:line="360" w:lineRule="auto"/>
        <w:ind w:right="-82"/>
        <w:jc w:val="both"/>
        <w:rPr>
          <w:rFonts w:ascii="Arial" w:hAnsi="Arial" w:cs="Arial"/>
          <w:sz w:val="20"/>
          <w:szCs w:val="20"/>
        </w:rPr>
      </w:pPr>
      <w:r>
        <w:rPr>
          <w:rFonts w:ascii="Arial" w:hAnsi="Arial" w:cs="Arial"/>
          <w:sz w:val="20"/>
          <w:szCs w:val="20"/>
        </w:rPr>
        <w:t xml:space="preserve">Nell’ambito del Progetto “Venture Capital” è stato creato un fondo ad hoc, il </w:t>
      </w:r>
      <w:r>
        <w:rPr>
          <w:rFonts w:ascii="Arial" w:hAnsi="Arial" w:cs="Arial"/>
          <w:bCs/>
          <w:sz w:val="20"/>
          <w:szCs w:val="20"/>
        </w:rPr>
        <w:t>Fondo di venture Capital per i Balcani</w:t>
      </w:r>
      <w:r>
        <w:rPr>
          <w:rFonts w:ascii="Arial" w:hAnsi="Arial" w:cs="Arial"/>
          <w:sz w:val="20"/>
          <w:szCs w:val="20"/>
        </w:rPr>
        <w:t xml:space="preserve">, pari a circa 8,2 milioni €, che è gestito dalla FINEST per conto del Ministero ed è attivabile per i seguenti Paesi (extra UE): </w:t>
      </w:r>
      <w:r>
        <w:rPr>
          <w:rFonts w:ascii="Arial" w:hAnsi="Arial" w:cs="Arial"/>
          <w:bCs/>
          <w:sz w:val="20"/>
          <w:szCs w:val="20"/>
        </w:rPr>
        <w:t>Albania, Bosnia-erzegovina, Croazia, Macedonia, Serbia, Montenegro.</w:t>
      </w:r>
    </w:p>
    <w:p w:rsidR="00B576FB" w:rsidRDefault="00B576FB" w:rsidP="00B576FB">
      <w:pPr>
        <w:tabs>
          <w:tab w:val="left" w:pos="9180"/>
        </w:tabs>
        <w:autoSpaceDE w:val="0"/>
        <w:autoSpaceDN w:val="0"/>
        <w:adjustRightInd w:val="0"/>
        <w:spacing w:line="360" w:lineRule="auto"/>
        <w:ind w:right="-82"/>
        <w:jc w:val="both"/>
        <w:rPr>
          <w:rFonts w:ascii="Arial" w:hAnsi="Arial" w:cs="Arial"/>
          <w:sz w:val="20"/>
          <w:szCs w:val="20"/>
        </w:rPr>
      </w:pPr>
      <w:r>
        <w:rPr>
          <w:rFonts w:ascii="Arial" w:hAnsi="Arial" w:cs="Arial"/>
          <w:sz w:val="20"/>
          <w:szCs w:val="20"/>
        </w:rPr>
        <w:t xml:space="preserve">Il Fondo Balcani prevede delle modalità di attivazione del tutto simili a quelle già descritte per i fondi di Venture Capital in generale (grazie all’intervento congiunto FINEST + Fondo Balcani la partecipazione pubblica può arrivare fino a un massimo del </w:t>
      </w:r>
      <w:r>
        <w:rPr>
          <w:rFonts w:ascii="Arial" w:hAnsi="Arial" w:cs="Arial"/>
          <w:bCs/>
          <w:sz w:val="20"/>
          <w:szCs w:val="20"/>
        </w:rPr>
        <w:t xml:space="preserve">49% </w:t>
      </w:r>
      <w:r>
        <w:rPr>
          <w:rFonts w:ascii="Arial" w:hAnsi="Arial" w:cs="Arial"/>
          <w:sz w:val="20"/>
          <w:szCs w:val="20"/>
        </w:rPr>
        <w:t>delle imprese estere).</w:t>
      </w:r>
    </w:p>
    <w:p w:rsidR="00B576FB" w:rsidRDefault="00B576FB" w:rsidP="00B576FB">
      <w:pPr>
        <w:spacing w:line="360" w:lineRule="auto"/>
        <w:ind w:right="-82" w:firstLine="360"/>
        <w:jc w:val="both"/>
        <w:rPr>
          <w:rFonts w:ascii="Arial" w:hAnsi="Arial" w:cs="Arial"/>
          <w:b/>
          <w:sz w:val="20"/>
          <w:szCs w:val="20"/>
        </w:rPr>
      </w:pPr>
    </w:p>
    <w:p w:rsidR="00B576FB" w:rsidRDefault="00B576FB" w:rsidP="00B576FB">
      <w:pPr>
        <w:spacing w:line="360" w:lineRule="auto"/>
        <w:ind w:right="-82" w:firstLine="360"/>
        <w:jc w:val="both"/>
        <w:rPr>
          <w:rFonts w:ascii="Arial" w:hAnsi="Arial" w:cs="Arial"/>
          <w:b/>
          <w:sz w:val="20"/>
          <w:szCs w:val="20"/>
        </w:rPr>
      </w:pPr>
      <w:r>
        <w:rPr>
          <w:rFonts w:ascii="Arial" w:hAnsi="Arial" w:cs="Arial"/>
          <w:b/>
          <w:sz w:val="20"/>
          <w:szCs w:val="20"/>
        </w:rPr>
        <w:t>4. Altre tipologie di intervento</w:t>
      </w:r>
    </w:p>
    <w:p w:rsidR="00B576FB" w:rsidRDefault="00B576FB" w:rsidP="00B576FB">
      <w:pPr>
        <w:spacing w:line="360" w:lineRule="auto"/>
        <w:ind w:right="-82"/>
        <w:jc w:val="both"/>
        <w:rPr>
          <w:rFonts w:ascii="Arial" w:hAnsi="Arial" w:cs="Arial"/>
          <w:b/>
          <w:sz w:val="20"/>
          <w:szCs w:val="20"/>
        </w:rPr>
      </w:pPr>
      <w:r>
        <w:rPr>
          <w:rFonts w:ascii="Arial" w:hAnsi="Arial" w:cs="Arial"/>
          <w:b/>
          <w:bCs/>
          <w:sz w:val="20"/>
          <w:szCs w:val="20"/>
        </w:rPr>
        <w:t xml:space="preserve">4.1 Creazione di Joint venture nei paesi in via di sviluppo </w:t>
      </w:r>
      <w:r>
        <w:rPr>
          <w:rFonts w:ascii="Arial" w:hAnsi="Arial" w:cs="Arial"/>
          <w:b/>
          <w:sz w:val="20"/>
          <w:szCs w:val="20"/>
        </w:rPr>
        <w:t>(art 7 della legge n. 49 del 26 febbraio 1987)</w:t>
      </w:r>
    </w:p>
    <w:p w:rsidR="00B576FB" w:rsidRDefault="00B576FB" w:rsidP="00B576FB">
      <w:pPr>
        <w:spacing w:line="360" w:lineRule="auto"/>
        <w:ind w:right="-82"/>
        <w:jc w:val="both"/>
        <w:rPr>
          <w:rFonts w:ascii="Arial" w:hAnsi="Arial" w:cs="Arial"/>
          <w:b/>
          <w:sz w:val="20"/>
          <w:szCs w:val="20"/>
        </w:rPr>
      </w:pPr>
      <w:r>
        <w:rPr>
          <w:rFonts w:ascii="Arial" w:hAnsi="Arial" w:cs="Arial"/>
          <w:sz w:val="20"/>
          <w:szCs w:val="20"/>
        </w:rPr>
        <w:t>La legge n. 49 del 1987 definisce gli obiettivi prioritari dell’intervento italiano nell’ambito della cooperazione allo sviluppo e della lotta alla povertà. Come veicolo della crescita dei Paesi in Via di Sviluppo (PVS) la legge citata prevede la possibilità di incentivare la creazione di imprese miste - italiane e locali - nei Paesi in Via diSviluppo attraverso l’erogazione di crediti agevolati agli imprenditori italiani che ne facciano richiesta, a copertura parziale della loro quota di partecipazione nella Joint Venture. Tale Joint Venture deve aver sede in uno dei Paesi target indicati, con la partecipazione di partner esteri locali e non, sia pubblici che privati, e di Istituzioni finanziarie internazionali.</w:t>
      </w:r>
    </w:p>
    <w:p w:rsidR="00B576FB" w:rsidRDefault="00B576FB" w:rsidP="00B576FB">
      <w:pPr>
        <w:spacing w:line="360" w:lineRule="auto"/>
        <w:ind w:right="-82"/>
        <w:jc w:val="both"/>
        <w:rPr>
          <w:rFonts w:ascii="Arial" w:hAnsi="Arial" w:cs="Arial"/>
          <w:b/>
          <w:sz w:val="20"/>
          <w:szCs w:val="20"/>
        </w:rPr>
      </w:pPr>
      <w:r>
        <w:rPr>
          <w:rFonts w:ascii="Arial" w:hAnsi="Arial" w:cs="Arial"/>
          <w:sz w:val="20"/>
          <w:szCs w:val="20"/>
        </w:rPr>
        <w:lastRenderedPageBreak/>
        <w:t>L’erogazione è possibile per iniziative da attuare intutti i PVS con un reddito annuo pro-capite inferiore a 3.250 $ USA e ne possono beneficiare tutte le imprese italiane, di qualunque dimensione e tipologia societaria, che acquisiscono quote di capitale in imprese miste da realizzare in Paesi in Via di Sviluppo nei settori industriale, agricolo, o delle infrastrutture.</w:t>
      </w:r>
    </w:p>
    <w:p w:rsidR="00B576FB" w:rsidRDefault="00B576FB" w:rsidP="00B576FB">
      <w:pPr>
        <w:spacing w:line="360" w:lineRule="auto"/>
        <w:ind w:right="-82"/>
        <w:jc w:val="both"/>
        <w:rPr>
          <w:rFonts w:ascii="Arial" w:hAnsi="Arial" w:cs="Arial"/>
          <w:b/>
          <w:sz w:val="20"/>
          <w:szCs w:val="20"/>
        </w:rPr>
      </w:pPr>
      <w:r>
        <w:rPr>
          <w:rFonts w:ascii="Arial" w:hAnsi="Arial" w:cs="Arial"/>
          <w:sz w:val="20"/>
          <w:szCs w:val="20"/>
        </w:rPr>
        <w:t>L’intervento finanzia:</w:t>
      </w:r>
    </w:p>
    <w:p w:rsidR="00B576FB" w:rsidRDefault="00B576FB" w:rsidP="00B576FB">
      <w:pPr>
        <w:numPr>
          <w:ilvl w:val="0"/>
          <w:numId w:val="4"/>
        </w:numPr>
        <w:spacing w:after="0" w:line="360" w:lineRule="auto"/>
        <w:ind w:right="-82"/>
        <w:jc w:val="both"/>
        <w:rPr>
          <w:rFonts w:ascii="Arial" w:hAnsi="Arial" w:cs="Arial"/>
          <w:b/>
          <w:sz w:val="20"/>
          <w:szCs w:val="20"/>
        </w:rPr>
      </w:pPr>
      <w:r>
        <w:rPr>
          <w:rFonts w:ascii="Arial" w:hAnsi="Arial" w:cs="Arial"/>
          <w:sz w:val="20"/>
          <w:szCs w:val="20"/>
        </w:rPr>
        <w:t>acquisizioni di quote in Joint Venture di nuova costituzione;</w:t>
      </w:r>
    </w:p>
    <w:p w:rsidR="00B576FB" w:rsidRDefault="00B576FB" w:rsidP="00B576FB">
      <w:pPr>
        <w:numPr>
          <w:ilvl w:val="0"/>
          <w:numId w:val="4"/>
        </w:numPr>
        <w:spacing w:after="0" w:line="360" w:lineRule="auto"/>
        <w:ind w:right="-82"/>
        <w:jc w:val="both"/>
        <w:rPr>
          <w:rFonts w:ascii="Arial" w:hAnsi="Arial" w:cs="Arial"/>
          <w:b/>
          <w:sz w:val="20"/>
          <w:szCs w:val="20"/>
        </w:rPr>
      </w:pPr>
      <w:r>
        <w:rPr>
          <w:rFonts w:ascii="Arial" w:hAnsi="Arial" w:cs="Arial"/>
          <w:sz w:val="20"/>
          <w:szCs w:val="20"/>
        </w:rPr>
        <w:t>acquisizioni di quote aggiuntive, attraverso la sottoscrizione di aumenti di capitale sociale, in Joint Venture già costituite, da parte di imprese italiane che già detengono una partecipazione;</w:t>
      </w:r>
    </w:p>
    <w:p w:rsidR="00B576FB" w:rsidRDefault="00B576FB" w:rsidP="00B576FB">
      <w:pPr>
        <w:numPr>
          <w:ilvl w:val="0"/>
          <w:numId w:val="4"/>
        </w:numPr>
        <w:spacing w:after="0" w:line="360" w:lineRule="auto"/>
        <w:ind w:right="-82"/>
        <w:jc w:val="both"/>
        <w:rPr>
          <w:rFonts w:ascii="Arial" w:hAnsi="Arial" w:cs="Arial"/>
          <w:b/>
          <w:sz w:val="20"/>
          <w:szCs w:val="20"/>
        </w:rPr>
      </w:pPr>
      <w:r>
        <w:rPr>
          <w:rFonts w:ascii="Arial" w:hAnsi="Arial" w:cs="Arial"/>
          <w:sz w:val="20"/>
          <w:szCs w:val="20"/>
        </w:rPr>
        <w:t>sottoscrizione di aumenti di capitale in imprese estere già costituite da parte di imprese italiane che non detengono una partecipazione.</w:t>
      </w:r>
    </w:p>
    <w:p w:rsidR="00B576FB" w:rsidRDefault="00B576FB" w:rsidP="00B576FB">
      <w:pPr>
        <w:spacing w:line="360" w:lineRule="auto"/>
        <w:ind w:right="-82" w:firstLine="360"/>
        <w:jc w:val="both"/>
        <w:rPr>
          <w:rFonts w:ascii="Arial" w:hAnsi="Arial" w:cs="Arial"/>
          <w:b/>
          <w:sz w:val="20"/>
          <w:szCs w:val="20"/>
        </w:rPr>
      </w:pPr>
    </w:p>
    <w:p w:rsidR="00B576FB" w:rsidRDefault="00B576FB" w:rsidP="00B576FB">
      <w:pPr>
        <w:spacing w:line="360" w:lineRule="auto"/>
        <w:ind w:right="-82"/>
        <w:jc w:val="both"/>
        <w:rPr>
          <w:rFonts w:ascii="Arial" w:hAnsi="Arial" w:cs="Arial"/>
          <w:b/>
          <w:sz w:val="20"/>
          <w:szCs w:val="20"/>
        </w:rPr>
      </w:pPr>
      <w:r>
        <w:rPr>
          <w:rFonts w:ascii="Arial" w:hAnsi="Arial" w:cs="Arial"/>
          <w:sz w:val="20"/>
          <w:szCs w:val="20"/>
        </w:rPr>
        <w:t>La partecipazione delle imprese italiane dovrà, in ogni caso, essere tale da configurare una presenza significativa nel capitale (Maggiore del 15%), mentrela partecipazione degli investitori locali (imprese o cittadini del PVS in cui si realizza l’iniziativa) non potrà essere inferiore al 25% del capitale di rischio di ogni singola iniziativa.</w:t>
      </w:r>
    </w:p>
    <w:p w:rsidR="00B576FB" w:rsidRDefault="00B576FB" w:rsidP="00B576FB">
      <w:pPr>
        <w:spacing w:line="360" w:lineRule="auto"/>
        <w:ind w:right="-82"/>
        <w:jc w:val="both"/>
        <w:rPr>
          <w:rFonts w:ascii="Arial" w:hAnsi="Arial" w:cs="Arial"/>
          <w:b/>
          <w:sz w:val="20"/>
          <w:szCs w:val="20"/>
        </w:rPr>
      </w:pPr>
      <w:r>
        <w:rPr>
          <w:rFonts w:ascii="Arial" w:hAnsi="Arial" w:cs="Arial"/>
          <w:sz w:val="20"/>
          <w:szCs w:val="20"/>
        </w:rPr>
        <w:t>Le agevolazioni previste sono cumulabili con altre agevolazioni sia nazionali che internazionali ed finanziamenti concessi hanno in genere durata massima di 10 anni compresi 2 anni di preammortamento e vengono concessi ad un tasso di interesse fisso pari al 30% del tasso di riferimento stabilito per il credito industriale, vigente al momento della stipula del finanziamento.</w:t>
      </w:r>
    </w:p>
    <w:p w:rsidR="00B576FB" w:rsidRDefault="00B576FB" w:rsidP="00B576FB">
      <w:pPr>
        <w:spacing w:line="360" w:lineRule="auto"/>
        <w:ind w:right="-82"/>
        <w:jc w:val="both"/>
        <w:rPr>
          <w:rFonts w:ascii="Arial" w:hAnsi="Arial" w:cs="Arial"/>
          <w:b/>
          <w:sz w:val="20"/>
          <w:szCs w:val="20"/>
        </w:rPr>
      </w:pPr>
      <w:r>
        <w:rPr>
          <w:rFonts w:ascii="Arial" w:hAnsi="Arial" w:cs="Arial"/>
          <w:bCs/>
          <w:sz w:val="20"/>
          <w:szCs w:val="20"/>
        </w:rPr>
        <w:t xml:space="preserve">Per quanto riguarda le garanzie da fornire è previsto che </w:t>
      </w:r>
      <w:r>
        <w:rPr>
          <w:rFonts w:ascii="Arial" w:hAnsi="Arial" w:cs="Arial"/>
          <w:sz w:val="20"/>
          <w:szCs w:val="20"/>
        </w:rPr>
        <w:t>l’azienda beneficiaria debba presentare fideiussione bancaria o assicurativa (o altre forme di garanzie reali) a totale copertura del finanziamento.</w:t>
      </w:r>
    </w:p>
    <w:p w:rsidR="00B576FB" w:rsidRDefault="00B576FB" w:rsidP="00B576FB">
      <w:pPr>
        <w:spacing w:line="360" w:lineRule="auto"/>
        <w:ind w:right="-82"/>
        <w:jc w:val="both"/>
        <w:rPr>
          <w:rFonts w:ascii="Arial" w:hAnsi="Arial" w:cs="Arial"/>
          <w:b/>
          <w:sz w:val="20"/>
          <w:szCs w:val="20"/>
        </w:rPr>
      </w:pPr>
      <w:r>
        <w:rPr>
          <w:rFonts w:ascii="Arial" w:hAnsi="Arial" w:cs="Arial"/>
          <w:sz w:val="20"/>
          <w:szCs w:val="20"/>
        </w:rPr>
        <w:t>Il finanziamento non può essere superiore a 10.329.138 € per ciascun progetto in una misura massima del70% della quota di pertinenza dell’impresa italiana (per un importo non superiore a 5.164.569 €); 50% della quota eccedente, qualora l’iniziativa rivesta particolare rilievo ai fini degli obiettivi di sviluppo del Paese beneficiario e di eventuali Paesi terzi.</w:t>
      </w:r>
    </w:p>
    <w:p w:rsidR="00B576FB" w:rsidRDefault="00B576FB" w:rsidP="00B576FB">
      <w:pPr>
        <w:spacing w:line="360" w:lineRule="auto"/>
        <w:ind w:right="-82" w:firstLine="360"/>
        <w:jc w:val="both"/>
        <w:rPr>
          <w:rFonts w:ascii="Arial" w:hAnsi="Arial" w:cs="Arial"/>
          <w:b/>
          <w:sz w:val="20"/>
          <w:szCs w:val="20"/>
        </w:rPr>
      </w:pPr>
    </w:p>
    <w:p w:rsidR="00B576FB" w:rsidRDefault="00B576FB" w:rsidP="00B576FB">
      <w:pPr>
        <w:spacing w:line="360" w:lineRule="auto"/>
        <w:ind w:right="-82" w:firstLine="360"/>
        <w:jc w:val="both"/>
        <w:rPr>
          <w:rFonts w:ascii="Arial" w:hAnsi="Arial" w:cs="Arial"/>
          <w:b/>
          <w:sz w:val="20"/>
          <w:szCs w:val="20"/>
        </w:rPr>
      </w:pPr>
      <w:r>
        <w:rPr>
          <w:rFonts w:ascii="Arial" w:hAnsi="Arial" w:cs="Arial"/>
          <w:b/>
          <w:sz w:val="20"/>
          <w:szCs w:val="20"/>
        </w:rPr>
        <w:t xml:space="preserve">4.2 </w:t>
      </w:r>
      <w:r>
        <w:rPr>
          <w:rFonts w:ascii="Arial" w:hAnsi="Arial" w:cs="Arial"/>
          <w:b/>
          <w:bCs/>
          <w:sz w:val="20"/>
          <w:szCs w:val="20"/>
        </w:rPr>
        <w:t>Contributi ai Consorzi all’esportazione fra piccole e medie imprese</w:t>
      </w:r>
      <w:r>
        <w:rPr>
          <w:rFonts w:ascii="Arial" w:hAnsi="Arial" w:cs="Arial"/>
          <w:b/>
          <w:sz w:val="20"/>
          <w:szCs w:val="20"/>
        </w:rPr>
        <w:t xml:space="preserve"> (Legge 83/89)</w:t>
      </w:r>
    </w:p>
    <w:p w:rsidR="00B576FB" w:rsidRDefault="00B576FB" w:rsidP="00B576FB">
      <w:pPr>
        <w:spacing w:line="360" w:lineRule="auto"/>
        <w:ind w:right="-82"/>
        <w:jc w:val="both"/>
        <w:rPr>
          <w:rFonts w:ascii="Arial" w:hAnsi="Arial" w:cs="Arial"/>
          <w:b/>
          <w:sz w:val="20"/>
          <w:szCs w:val="20"/>
        </w:rPr>
      </w:pPr>
      <w:r>
        <w:rPr>
          <w:rFonts w:ascii="Arial" w:hAnsi="Arial" w:cs="Arial"/>
          <w:sz w:val="20"/>
          <w:szCs w:val="20"/>
        </w:rPr>
        <w:t xml:space="preserve">Lo strumento mira a sostenere le imprese nel loro processo di penetrazione nei mercati internazionali attraverso ilfinanziamento delle attività promozionali realizzate da Consorzi di PMI all’esportazione.A seguito della recente redistribuzione delle competenze normative ed amministrative tra Stato e Regioni ed inun’ottica di decentramento nell’ambito di operatività della normativa del 1989 è stato ridotto: essa si applica ormaisolo alle agevolazioni a Consorzi con carattere multi regionale, di cui, almeno il 25% delle imprese associate abbia sedelegale in una o più Regioni diverse da quella delle restanti aziende.Si evidenzia, inoltre, che il criterio della “preferenzialità”, introdotto di recente, fa sì che vengano privilegiati progettirealizzati in concomitanza con le attività promozionali dell’ICE o di altri soggetti - quali ad esempio le Camere diCommercio italiane </w:t>
      </w:r>
      <w:r>
        <w:rPr>
          <w:rFonts w:ascii="Arial" w:hAnsi="Arial" w:cs="Arial"/>
          <w:sz w:val="20"/>
          <w:szCs w:val="20"/>
        </w:rPr>
        <w:lastRenderedPageBreak/>
        <w:t>all’estero e le Camere italo estere - che operino nella stessa area geografica estera di interesse delConsorzio export.</w:t>
      </w:r>
    </w:p>
    <w:p w:rsidR="00B576FB" w:rsidRDefault="00B576FB" w:rsidP="00B576FB">
      <w:pPr>
        <w:spacing w:line="360" w:lineRule="auto"/>
        <w:ind w:right="-82"/>
        <w:jc w:val="both"/>
        <w:rPr>
          <w:rFonts w:ascii="Arial" w:hAnsi="Arial" w:cs="Arial"/>
          <w:b/>
          <w:sz w:val="20"/>
          <w:szCs w:val="20"/>
        </w:rPr>
      </w:pPr>
      <w:r>
        <w:rPr>
          <w:rFonts w:ascii="Arial" w:hAnsi="Arial" w:cs="Arial"/>
          <w:bCs/>
          <w:sz w:val="20"/>
          <w:szCs w:val="20"/>
        </w:rPr>
        <w:t>Beneficiari dell’intervento sono</w:t>
      </w:r>
      <w:r>
        <w:rPr>
          <w:rFonts w:ascii="Arial" w:hAnsi="Arial" w:cs="Arial"/>
          <w:sz w:val="20"/>
          <w:szCs w:val="20"/>
        </w:rPr>
        <w:t>i Consorzi e le Società consortili, anche in forma cooperativa, a carattere multi regionale e costituiti daalmeno 8 PMI, aventi per scopo sociale esclusivo, l’esportazione dei prodotti delle imprese consorziate e l’attivitàpromozionale necessaria per realizzarla; a tali attività può aggiungersi l’importazione delle materie prime e deisemilavorati da utilizzarsi da parte delle imprese stesse. Il limite numerico di 8 aziende può essere ridotto a 5 qualorale imprese abbiano sede abbiano in Campania, Puglia, Calabria, Basilicata, Sicilia, Sardegna.Il carattere multiregionale sussiste quando, almeno il 25% delle imprese associate (per i Consorzi con più di 60 aziende,il requisito minimo è fissato a 15 imprese) ha sede in una o più Regioni diverse da quella delle altre aziende. La quotadi partecipazione sottoscritta da ciascuna impresa non può superare il 20% del fondo o del capitale.</w:t>
      </w:r>
    </w:p>
    <w:p w:rsidR="00B576FB" w:rsidRDefault="00B576FB" w:rsidP="00B576FB">
      <w:pPr>
        <w:spacing w:line="360" w:lineRule="auto"/>
        <w:ind w:right="-82"/>
        <w:jc w:val="both"/>
        <w:rPr>
          <w:rFonts w:ascii="Arial" w:hAnsi="Arial" w:cs="Arial"/>
          <w:b/>
          <w:sz w:val="20"/>
          <w:szCs w:val="20"/>
        </w:rPr>
      </w:pPr>
      <w:r>
        <w:rPr>
          <w:rFonts w:ascii="Arial" w:hAnsi="Arial" w:cs="Arial"/>
          <w:sz w:val="20"/>
          <w:szCs w:val="20"/>
        </w:rPr>
        <w:t>Lo strumento agevolativo mira a finanziare una vasta gamma di attività promozionali dei Consorzi,come la partecipazione a fiere estere o ad eventi di portata internazionale, organizzati in Italia, la realizzazione,stampa e distribuzione di materiale pubblicitario in lingua estera, la pubblicità effettuata all’estero, la realizzazionedi workshop, conferenze ed incontri con operatori esteri. Il Ministero dello Sviluppo Economico rimanda ad unacircolare ad hoc l’individuazione specifica delle tipologie dei progetti finanziabili e le relative spese ammissibili e nonammissibili.</w:t>
      </w:r>
    </w:p>
    <w:p w:rsidR="00B576FB" w:rsidRDefault="00B576FB" w:rsidP="00B576FB">
      <w:pPr>
        <w:spacing w:line="360" w:lineRule="auto"/>
        <w:ind w:right="-82"/>
        <w:jc w:val="both"/>
        <w:rPr>
          <w:rFonts w:ascii="Arial" w:hAnsi="Arial" w:cs="Arial"/>
          <w:b/>
          <w:sz w:val="20"/>
          <w:szCs w:val="20"/>
        </w:rPr>
      </w:pPr>
      <w:r>
        <w:rPr>
          <w:rFonts w:ascii="Arial" w:hAnsi="Arial" w:cs="Arial"/>
          <w:bCs/>
          <w:sz w:val="20"/>
          <w:szCs w:val="20"/>
        </w:rPr>
        <w:t>Il</w:t>
      </w:r>
      <w:r>
        <w:rPr>
          <w:rFonts w:ascii="Arial" w:hAnsi="Arial" w:cs="Arial"/>
          <w:sz w:val="20"/>
          <w:szCs w:val="20"/>
        </w:rPr>
        <w:t>co-finanziamento a fondo perduto concesso, commisurato all’importo delle spese ammissibili sostenute per l’esecuzionedei programmi promozionali per le esportazioni verso l’estero è pari al40% dei costi del programma ( 60% dei costi del programma, per i Consorzi che hanno sede legale e almeno 4/5 delle imprese nelle regioniCampania, Puglia, Basilicata, Calabria, Sicilia, Sardegna);Il co- finanziamento può arrivare al 70% dei costi del programma per i Consorzi che al momento della richiesta di liquidazione risultinocostituiti da meno di cinque anni.</w:t>
      </w:r>
    </w:p>
    <w:p w:rsidR="00B576FB" w:rsidRDefault="00B576FB" w:rsidP="00B576FB">
      <w:pPr>
        <w:spacing w:line="360" w:lineRule="auto"/>
        <w:ind w:right="-82"/>
        <w:jc w:val="both"/>
        <w:rPr>
          <w:rFonts w:ascii="Arial" w:hAnsi="Arial" w:cs="Arial"/>
          <w:b/>
          <w:sz w:val="20"/>
          <w:szCs w:val="20"/>
        </w:rPr>
      </w:pPr>
      <w:r>
        <w:rPr>
          <w:rFonts w:ascii="Arial" w:hAnsi="Arial" w:cs="Arial"/>
          <w:sz w:val="20"/>
          <w:szCs w:val="20"/>
        </w:rPr>
        <w:t>L’importo del contributo non può comunque superare:</w:t>
      </w:r>
    </w:p>
    <w:p w:rsidR="00B576FB" w:rsidRDefault="00B576FB" w:rsidP="00B576FB">
      <w:pPr>
        <w:numPr>
          <w:ilvl w:val="0"/>
          <w:numId w:val="5"/>
        </w:numPr>
        <w:spacing w:after="0" w:line="360" w:lineRule="auto"/>
        <w:ind w:right="-82" w:firstLine="360"/>
        <w:jc w:val="both"/>
        <w:rPr>
          <w:rFonts w:ascii="Arial" w:hAnsi="Arial" w:cs="Arial"/>
          <w:b/>
          <w:sz w:val="20"/>
          <w:szCs w:val="20"/>
        </w:rPr>
      </w:pPr>
      <w:r>
        <w:rPr>
          <w:rFonts w:ascii="Arial" w:hAnsi="Arial" w:cs="Arial"/>
          <w:sz w:val="20"/>
          <w:szCs w:val="20"/>
        </w:rPr>
        <w:t>77.468,53 € per i Consorzi aventi fino a 24 soci;</w:t>
      </w:r>
    </w:p>
    <w:p w:rsidR="00B576FB" w:rsidRDefault="00B576FB" w:rsidP="00B576FB">
      <w:pPr>
        <w:numPr>
          <w:ilvl w:val="0"/>
          <w:numId w:val="5"/>
        </w:numPr>
        <w:spacing w:after="0" w:line="360" w:lineRule="auto"/>
        <w:ind w:right="-82" w:firstLine="360"/>
        <w:jc w:val="both"/>
        <w:rPr>
          <w:rFonts w:ascii="Arial" w:hAnsi="Arial" w:cs="Arial"/>
          <w:b/>
          <w:sz w:val="20"/>
          <w:szCs w:val="20"/>
        </w:rPr>
      </w:pPr>
      <w:r>
        <w:rPr>
          <w:rFonts w:ascii="Arial" w:hAnsi="Arial" w:cs="Arial"/>
          <w:sz w:val="20"/>
          <w:szCs w:val="20"/>
        </w:rPr>
        <w:t xml:space="preserve">103.291,38 € per i Consorzi costituiti da </w:t>
      </w:r>
      <w:smartTag w:uri="urn:schemas-microsoft-com:office:smarttags" w:element="metricconverter">
        <w:smartTagPr>
          <w:attr w:name="ProductID" w:val="25 a"/>
        </w:smartTagPr>
        <w:r>
          <w:rPr>
            <w:rFonts w:ascii="Arial" w:hAnsi="Arial" w:cs="Arial"/>
            <w:sz w:val="20"/>
            <w:szCs w:val="20"/>
          </w:rPr>
          <w:t>25 a</w:t>
        </w:r>
      </w:smartTag>
      <w:r>
        <w:rPr>
          <w:rFonts w:ascii="Arial" w:hAnsi="Arial" w:cs="Arial"/>
          <w:sz w:val="20"/>
          <w:szCs w:val="20"/>
        </w:rPr>
        <w:t xml:space="preserve"> 74 soci;</w:t>
      </w:r>
    </w:p>
    <w:p w:rsidR="00B576FB" w:rsidRDefault="00B576FB" w:rsidP="00B576FB">
      <w:pPr>
        <w:numPr>
          <w:ilvl w:val="0"/>
          <w:numId w:val="5"/>
        </w:numPr>
        <w:spacing w:after="0" w:line="360" w:lineRule="auto"/>
        <w:ind w:right="-82" w:firstLine="360"/>
        <w:jc w:val="both"/>
        <w:rPr>
          <w:rFonts w:ascii="Arial" w:hAnsi="Arial" w:cs="Arial"/>
          <w:b/>
          <w:sz w:val="20"/>
          <w:szCs w:val="20"/>
        </w:rPr>
      </w:pPr>
      <w:r>
        <w:rPr>
          <w:rFonts w:ascii="Arial" w:hAnsi="Arial" w:cs="Arial"/>
          <w:sz w:val="20"/>
          <w:szCs w:val="20"/>
        </w:rPr>
        <w:t>154.937,07 € per i Consorzi costituiti da più di 74 soci.</w:t>
      </w:r>
    </w:p>
    <w:p w:rsidR="00B576FB" w:rsidRDefault="00B576FB" w:rsidP="00B576FB">
      <w:pPr>
        <w:autoSpaceDE w:val="0"/>
        <w:autoSpaceDN w:val="0"/>
        <w:adjustRightInd w:val="0"/>
        <w:ind w:right="-82" w:firstLine="360"/>
        <w:rPr>
          <w:rFonts w:ascii="Arial" w:hAnsi="Arial" w:cs="Arial"/>
          <w:b/>
          <w:bCs/>
          <w:sz w:val="20"/>
          <w:szCs w:val="20"/>
        </w:rPr>
      </w:pPr>
    </w:p>
    <w:p w:rsidR="00B576FB" w:rsidRDefault="00B576FB" w:rsidP="00B576FB">
      <w:pPr>
        <w:spacing w:line="360" w:lineRule="auto"/>
        <w:ind w:right="-82" w:firstLine="360"/>
        <w:jc w:val="both"/>
        <w:rPr>
          <w:rFonts w:ascii="Arial" w:hAnsi="Arial" w:cs="Arial"/>
          <w:b/>
          <w:sz w:val="20"/>
          <w:szCs w:val="20"/>
        </w:rPr>
      </w:pPr>
    </w:p>
    <w:p w:rsidR="00B576FB" w:rsidRDefault="00B576FB" w:rsidP="00B576FB">
      <w:pPr>
        <w:spacing w:line="360" w:lineRule="auto"/>
        <w:ind w:right="-82" w:firstLine="360"/>
        <w:jc w:val="both"/>
        <w:rPr>
          <w:rFonts w:ascii="Arial" w:hAnsi="Arial" w:cs="Arial"/>
          <w:b/>
          <w:sz w:val="20"/>
          <w:szCs w:val="20"/>
        </w:rPr>
      </w:pPr>
      <w:r>
        <w:rPr>
          <w:rFonts w:ascii="Arial" w:hAnsi="Arial" w:cs="Arial"/>
          <w:b/>
          <w:sz w:val="20"/>
          <w:szCs w:val="20"/>
        </w:rPr>
        <w:t xml:space="preserve">5.1 </w:t>
      </w:r>
      <w:smartTag w:uri="urn:schemas-microsoft-com:office:smarttags" w:element="PersonName">
        <w:smartTagPr>
          <w:attr w:name="ProductID" w:val="la Banca"/>
        </w:smartTagPr>
        <w:r>
          <w:rPr>
            <w:rFonts w:ascii="Arial" w:hAnsi="Arial" w:cs="Arial"/>
            <w:b/>
            <w:sz w:val="20"/>
            <w:szCs w:val="20"/>
          </w:rPr>
          <w:t>La Banca</w:t>
        </w:r>
      </w:smartTag>
      <w:r>
        <w:rPr>
          <w:rFonts w:ascii="Arial" w:hAnsi="Arial" w:cs="Arial"/>
          <w:b/>
          <w:sz w:val="20"/>
          <w:szCs w:val="20"/>
        </w:rPr>
        <w:t xml:space="preserve"> europea per gli investimenti (Bei)</w:t>
      </w:r>
    </w:p>
    <w:p w:rsidR="00B576FB" w:rsidRDefault="00B576FB" w:rsidP="00B576FB">
      <w:pPr>
        <w:spacing w:line="360" w:lineRule="auto"/>
        <w:ind w:right="-82"/>
        <w:jc w:val="both"/>
        <w:rPr>
          <w:rFonts w:ascii="Arial" w:hAnsi="Arial" w:cs="Arial"/>
          <w:sz w:val="20"/>
          <w:szCs w:val="20"/>
        </w:rPr>
      </w:pPr>
      <w:smartTag w:uri="urn:schemas-microsoft-com:office:smarttags" w:element="PersonName">
        <w:smartTagPr>
          <w:attr w:name="ProductID" w:val="La BEI"/>
        </w:smartTagPr>
        <w:r>
          <w:rPr>
            <w:rFonts w:ascii="Arial" w:hAnsi="Arial" w:cs="Arial"/>
            <w:sz w:val="20"/>
            <w:szCs w:val="20"/>
          </w:rPr>
          <w:t>La BEI</w:t>
        </w:r>
      </w:smartTag>
      <w:r>
        <w:rPr>
          <w:rFonts w:ascii="Arial" w:hAnsi="Arial" w:cs="Arial"/>
          <w:sz w:val="20"/>
          <w:szCs w:val="20"/>
        </w:rPr>
        <w:t xml:space="preserve"> è l’Istituzione finanziaria dell’Unione Europea creata nel 1958 dal Trattato di Roma, e specializzata nella concessione di prestiti a medio-lungo termine a sostegno delle politiche comunitarie. La principale missione della BEI è quella di contribuire con la sua azione a sostenere l’integrazione, lo sviluppo equilibrato e la coesione economica e sociale in Europa.</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lastRenderedPageBreak/>
        <w:t>La sua azione all’interno del territorio dell’UE è diretta a favorire la crescita nelle Regioni europee più svantaggiate, lo sviluppo delle PMI, la sostenibilità ambientale, la diffusione dell’innovazione, nonché la realizzazione di infrastrutture nei settori dei trasporti, delle telecomunicazioni e dell’energia.</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 xml:space="preserve">Sul piano esterno, invece, </w:t>
      </w:r>
      <w:smartTag w:uri="urn:schemas-microsoft-com:office:smarttags" w:element="PersonName">
        <w:smartTagPr>
          <w:attr w:name="ProductID" w:val="La BEI"/>
        </w:smartTagPr>
        <w:r>
          <w:rPr>
            <w:rFonts w:ascii="Arial" w:hAnsi="Arial" w:cs="Arial"/>
            <w:sz w:val="20"/>
            <w:szCs w:val="20"/>
          </w:rPr>
          <w:t>la BEI</w:t>
        </w:r>
      </w:smartTag>
      <w:r>
        <w:rPr>
          <w:rFonts w:ascii="Arial" w:hAnsi="Arial" w:cs="Arial"/>
          <w:sz w:val="20"/>
          <w:szCs w:val="20"/>
        </w:rPr>
        <w:t xml:space="preserve"> agisce a supporto della politica di cooperazione allo sviluppo, finanziando iniziative promosse dal settore privato ma anche la realizzazione di strade, ospedali, e altre infrastrutture di interesse collettivo nei Paesi Candidati all’Adesione, in quelli Mediterranei e dell’Est Europa, negli ACP, in Asia ed in America Latina.</w:t>
      </w:r>
    </w:p>
    <w:p w:rsidR="00B576FB" w:rsidRDefault="00B576FB" w:rsidP="00B576FB">
      <w:pPr>
        <w:autoSpaceDE w:val="0"/>
        <w:autoSpaceDN w:val="0"/>
        <w:adjustRightInd w:val="0"/>
        <w:spacing w:line="360" w:lineRule="auto"/>
        <w:ind w:right="-82"/>
        <w:jc w:val="both"/>
        <w:rPr>
          <w:rFonts w:ascii="Arial" w:hAnsi="Arial" w:cs="Arial"/>
          <w:sz w:val="20"/>
          <w:szCs w:val="20"/>
        </w:rPr>
      </w:pPr>
      <w:r>
        <w:rPr>
          <w:rFonts w:ascii="Arial" w:hAnsi="Arial" w:cs="Arial"/>
          <w:sz w:val="20"/>
          <w:szCs w:val="20"/>
        </w:rPr>
        <w:t xml:space="preserve">Possono beneficiare degli strumenti predisposti dalla Banca Europea per gli investimenti sia operatori economici pubblici che privati ( imprese, enti locali, banche). Gli strumenti della Bei, a seconda dei casi possono riguardare progetti da realizzare nei seguenti paesi: Stati membri dell’UE, Paesi Candidati o Potenzialmente Candidati all’Adesione, Paesi Partner Mediterranei, Russia, Paesi Vicini dell’Est Europa, Caucaso del Sud, Paesi dell’Asia Centrale, Paesi “ACP” ( Africa, Caraibi, Pacifico), Sud Africa, Paesi dell’Asia e dell’America Latina. ( Per l’elenco dei singoli paesi si consiglia di consultare il sito </w:t>
      </w:r>
      <w:hyperlink r:id="rId6" w:history="1">
        <w:r>
          <w:rPr>
            <w:rStyle w:val="Collegamentoipertestuale"/>
            <w:rFonts w:ascii="Arial" w:hAnsi="Arial" w:cs="Arial"/>
            <w:color w:val="auto"/>
            <w:sz w:val="20"/>
            <w:szCs w:val="20"/>
            <w:u w:val="none"/>
          </w:rPr>
          <w:t>www.eib.org</w:t>
        </w:r>
      </w:hyperlink>
      <w:r>
        <w:rPr>
          <w:rFonts w:ascii="Arial" w:hAnsi="Arial" w:cs="Arial"/>
          <w:sz w:val="20"/>
          <w:szCs w:val="20"/>
        </w:rPr>
        <w:t xml:space="preserve"> )</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 xml:space="preserve"> Molteplici sono gli interventi previsti brevemente illustrati di seguito:</w:t>
      </w:r>
    </w:p>
    <w:p w:rsidR="00B576FB" w:rsidRDefault="00B576FB" w:rsidP="00B576FB">
      <w:pPr>
        <w:autoSpaceDE w:val="0"/>
        <w:autoSpaceDN w:val="0"/>
        <w:adjustRightInd w:val="0"/>
        <w:spacing w:line="360" w:lineRule="auto"/>
        <w:ind w:right="-82" w:firstLine="360"/>
        <w:jc w:val="both"/>
        <w:rPr>
          <w:rFonts w:ascii="Arial" w:hAnsi="Arial" w:cs="Arial"/>
          <w:i/>
          <w:sz w:val="20"/>
          <w:szCs w:val="20"/>
        </w:rPr>
      </w:pPr>
      <w:r>
        <w:rPr>
          <w:rFonts w:ascii="Arial" w:hAnsi="Arial" w:cs="Arial"/>
          <w:i/>
          <w:sz w:val="20"/>
          <w:szCs w:val="20"/>
        </w:rPr>
        <w:t>Interventi negli stati membri dell’UE.</w:t>
      </w:r>
    </w:p>
    <w:p w:rsidR="00B576FB" w:rsidRDefault="00B576FB" w:rsidP="00B576FB">
      <w:pPr>
        <w:autoSpaceDE w:val="0"/>
        <w:autoSpaceDN w:val="0"/>
        <w:adjustRightInd w:val="0"/>
        <w:spacing w:line="360" w:lineRule="auto"/>
        <w:ind w:right="-82"/>
        <w:jc w:val="both"/>
        <w:rPr>
          <w:rFonts w:ascii="Arial" w:hAnsi="Arial" w:cs="Arial"/>
          <w:sz w:val="20"/>
          <w:szCs w:val="20"/>
        </w:rPr>
      </w:pPr>
      <w:r>
        <w:rPr>
          <w:rFonts w:ascii="Arial" w:hAnsi="Arial" w:cs="Arial"/>
          <w:sz w:val="20"/>
          <w:szCs w:val="20"/>
        </w:rPr>
        <w:t>Le imprese di grandi dimensioni (con più di 250 dipendenti) possono richiedere finanziamenti per investimenti che contribuiscano a realizzare uno o più dei seguenti obiettivi: sviluppare le regioni meno favorite e correggere gli squilibri regionali; proteggere l’ambiente, migliorare la qualità della vita e l’ambiente urbano, nonché salvaguardare il patrimonio architettonico e naturale; potenziare e ammodernare le strutture nel campo dell’istruzione e della formazione, facilitare le attività di ricerca, sviluppo tecnologico e dimostrazione, favorire la diffusione delle nuove Tecnologie dell’Informazione, compreso l’audiovisivo; migliorare la rete di infrastrutture nei settori dei trasporti e dell’energia; garantire un approvvigionamento energetico sicuro, economico e a basso impatto ambientale e una gestione più razionale ed efficiente dell’energia.</w:t>
      </w:r>
    </w:p>
    <w:p w:rsidR="00B576FB" w:rsidRDefault="00B576FB" w:rsidP="00B576FB">
      <w:pPr>
        <w:autoSpaceDE w:val="0"/>
        <w:autoSpaceDN w:val="0"/>
        <w:adjustRightInd w:val="0"/>
        <w:spacing w:line="360" w:lineRule="auto"/>
        <w:ind w:right="-82"/>
        <w:jc w:val="both"/>
        <w:rPr>
          <w:rFonts w:ascii="Arial" w:hAnsi="Arial" w:cs="Arial"/>
          <w:sz w:val="20"/>
          <w:szCs w:val="20"/>
        </w:rPr>
      </w:pPr>
      <w:r>
        <w:rPr>
          <w:rFonts w:ascii="Arial" w:hAnsi="Arial" w:cs="Arial"/>
          <w:sz w:val="20"/>
          <w:szCs w:val="20"/>
        </w:rPr>
        <w:t>Le Piccole e Medie Imprese (PMI) invece  possono invece presentare richiesta per qualsiasi tipo di investimento che ritengano di voler effettuare.</w:t>
      </w:r>
    </w:p>
    <w:p w:rsidR="00B576FB" w:rsidRDefault="00B576FB" w:rsidP="00B576FB">
      <w:pPr>
        <w:autoSpaceDE w:val="0"/>
        <w:autoSpaceDN w:val="0"/>
        <w:adjustRightInd w:val="0"/>
        <w:spacing w:line="360" w:lineRule="auto"/>
        <w:ind w:right="-82" w:firstLine="360"/>
        <w:jc w:val="both"/>
        <w:rPr>
          <w:rFonts w:ascii="Arial" w:hAnsi="Arial" w:cs="Arial"/>
          <w:sz w:val="20"/>
          <w:szCs w:val="20"/>
        </w:rPr>
      </w:pPr>
    </w:p>
    <w:p w:rsidR="00B576FB" w:rsidRDefault="00B576FB" w:rsidP="00B576FB">
      <w:pPr>
        <w:autoSpaceDE w:val="0"/>
        <w:autoSpaceDN w:val="0"/>
        <w:adjustRightInd w:val="0"/>
        <w:spacing w:line="360" w:lineRule="auto"/>
        <w:ind w:right="-82" w:firstLine="360"/>
        <w:jc w:val="both"/>
        <w:rPr>
          <w:rFonts w:ascii="Arial" w:hAnsi="Arial" w:cs="Arial"/>
          <w:i/>
          <w:sz w:val="20"/>
          <w:szCs w:val="20"/>
        </w:rPr>
      </w:pPr>
      <w:r>
        <w:rPr>
          <w:rFonts w:ascii="Arial" w:hAnsi="Arial" w:cs="Arial"/>
          <w:i/>
          <w:sz w:val="20"/>
          <w:szCs w:val="20"/>
        </w:rPr>
        <w:t>Interventi nei paesi terzi</w:t>
      </w:r>
    </w:p>
    <w:p w:rsidR="00B576FB" w:rsidRDefault="00B576FB" w:rsidP="00B576FB">
      <w:pPr>
        <w:autoSpaceDE w:val="0"/>
        <w:autoSpaceDN w:val="0"/>
        <w:adjustRightInd w:val="0"/>
        <w:spacing w:line="360" w:lineRule="auto"/>
        <w:ind w:right="-82"/>
        <w:jc w:val="both"/>
        <w:rPr>
          <w:rFonts w:ascii="Arial" w:hAnsi="Arial" w:cs="Arial"/>
          <w:sz w:val="20"/>
          <w:szCs w:val="20"/>
        </w:rPr>
      </w:pPr>
      <w:r>
        <w:rPr>
          <w:rFonts w:ascii="Arial" w:hAnsi="Arial" w:cs="Arial"/>
          <w:sz w:val="20"/>
          <w:szCs w:val="20"/>
        </w:rPr>
        <w:t xml:space="preserve">Investimenti volti a sostenere la politica di aiuto allo sviluppo dell’area di riferimento, promossi dal settore privato (creazione di nuove attività imprenditoriali, ammodernamento di quelle già esistenti, ecc.) e da quello pubblico (creazione di infrastrutture in settori come i trasporti, la gestione delle acque, l’energia, ecc.). Nello specifico si segnala che per quanto attiene ai Paesi Partner Mediterranei è stato creato uno strumento apposito, gestito appunto dalla BEI, a sostegno della crescita del tessuto imprenditoriale locale e denominato FEMIP. </w:t>
      </w:r>
    </w:p>
    <w:p w:rsidR="00B576FB" w:rsidRDefault="00B576FB" w:rsidP="00B576FB">
      <w:pPr>
        <w:autoSpaceDE w:val="0"/>
        <w:autoSpaceDN w:val="0"/>
        <w:adjustRightInd w:val="0"/>
        <w:spacing w:line="360" w:lineRule="auto"/>
        <w:ind w:right="-82"/>
        <w:jc w:val="both"/>
        <w:rPr>
          <w:rFonts w:ascii="Arial" w:hAnsi="Arial" w:cs="Arial"/>
          <w:sz w:val="20"/>
          <w:szCs w:val="20"/>
        </w:rPr>
      </w:pPr>
      <w:r>
        <w:rPr>
          <w:rFonts w:ascii="Arial" w:hAnsi="Arial" w:cs="Arial"/>
          <w:bCs/>
          <w:sz w:val="20"/>
          <w:szCs w:val="20"/>
        </w:rPr>
        <w:t>Per quanto riguarda la tipologia di agevolazione</w:t>
      </w:r>
      <w:smartTag w:uri="urn:schemas-microsoft-com:office:smarttags" w:element="PersonName">
        <w:smartTagPr>
          <w:attr w:name="ProductID" w:val="La BEI"/>
        </w:smartTagPr>
        <w:r>
          <w:rPr>
            <w:rFonts w:ascii="Arial" w:hAnsi="Arial" w:cs="Arial"/>
            <w:sz w:val="20"/>
            <w:szCs w:val="20"/>
          </w:rPr>
          <w:t>la BEI</w:t>
        </w:r>
      </w:smartTag>
      <w:r>
        <w:rPr>
          <w:rFonts w:ascii="Arial" w:hAnsi="Arial" w:cs="Arial"/>
          <w:sz w:val="20"/>
          <w:szCs w:val="20"/>
        </w:rPr>
        <w:t xml:space="preserve"> interviene direttamente o tramite intermediari, principalmente in funzione dell’ammontare dell’intervento richiesto.</w:t>
      </w:r>
    </w:p>
    <w:p w:rsidR="00B576FB" w:rsidRDefault="00B576FB" w:rsidP="00B576FB">
      <w:pPr>
        <w:autoSpaceDE w:val="0"/>
        <w:autoSpaceDN w:val="0"/>
        <w:adjustRightInd w:val="0"/>
        <w:spacing w:line="360" w:lineRule="auto"/>
        <w:ind w:right="-82" w:firstLine="360"/>
        <w:jc w:val="both"/>
        <w:rPr>
          <w:rFonts w:ascii="Arial" w:hAnsi="Arial" w:cs="Arial"/>
          <w:b/>
          <w:bCs/>
          <w:sz w:val="20"/>
          <w:szCs w:val="20"/>
        </w:rPr>
      </w:pPr>
    </w:p>
    <w:p w:rsidR="00B576FB" w:rsidRDefault="00B576FB" w:rsidP="00B576FB">
      <w:pPr>
        <w:autoSpaceDE w:val="0"/>
        <w:autoSpaceDN w:val="0"/>
        <w:adjustRightInd w:val="0"/>
        <w:spacing w:line="360" w:lineRule="auto"/>
        <w:ind w:right="-82" w:firstLine="360"/>
        <w:jc w:val="both"/>
        <w:rPr>
          <w:rFonts w:ascii="Arial" w:hAnsi="Arial" w:cs="Arial"/>
          <w:sz w:val="20"/>
          <w:szCs w:val="20"/>
        </w:rPr>
      </w:pPr>
      <w:r>
        <w:rPr>
          <w:rFonts w:ascii="Arial" w:hAnsi="Arial" w:cs="Arial"/>
          <w:bCs/>
          <w:i/>
          <w:sz w:val="20"/>
          <w:szCs w:val="20"/>
        </w:rPr>
        <w:t>Interventi “diretti”</w:t>
      </w:r>
    </w:p>
    <w:p w:rsidR="00B576FB" w:rsidRDefault="00B576FB" w:rsidP="00B576FB">
      <w:pPr>
        <w:autoSpaceDE w:val="0"/>
        <w:autoSpaceDN w:val="0"/>
        <w:adjustRightInd w:val="0"/>
        <w:spacing w:line="360" w:lineRule="auto"/>
        <w:ind w:right="-82"/>
        <w:jc w:val="both"/>
        <w:rPr>
          <w:rFonts w:ascii="Arial" w:hAnsi="Arial" w:cs="Arial"/>
          <w:sz w:val="20"/>
          <w:szCs w:val="20"/>
        </w:rPr>
      </w:pPr>
      <w:r>
        <w:rPr>
          <w:rFonts w:ascii="Arial" w:hAnsi="Arial" w:cs="Arial"/>
          <w:sz w:val="20"/>
          <w:szCs w:val="20"/>
        </w:rPr>
        <w:t xml:space="preserve">Consistono in finanziamenti a medio-lungo termine (fino a 20 anni) concessi a tassi competitivi determinati considerando il rischio-Paese e il rischio-Progetto, al fine di realizzare investimenti normalmente superiori ai 25 milioni €. Nei Paesi terzi </w:t>
      </w:r>
      <w:smartTag w:uri="urn:schemas-microsoft-com:office:smarttags" w:element="PersonName">
        <w:smartTagPr>
          <w:attr w:name="ProductID" w:val="La BEI"/>
        </w:smartTagPr>
        <w:r>
          <w:rPr>
            <w:rFonts w:ascii="Arial" w:hAnsi="Arial" w:cs="Arial"/>
            <w:sz w:val="20"/>
            <w:szCs w:val="20"/>
          </w:rPr>
          <w:t>la BEI</w:t>
        </w:r>
      </w:smartTag>
      <w:r>
        <w:rPr>
          <w:rFonts w:ascii="Arial" w:hAnsi="Arial" w:cs="Arial"/>
          <w:sz w:val="20"/>
          <w:szCs w:val="20"/>
        </w:rPr>
        <w:t xml:space="preserve"> può intervenire anche attraverso partecipazioni azionarie e quasi-azionarie, sempre minoritarie e temporanee, gestendo fondi di capitale di rischio costituiti con risorse di bilancio proprio o dell’UE.</w:t>
      </w:r>
    </w:p>
    <w:p w:rsidR="00B576FB" w:rsidRDefault="00B576FB" w:rsidP="00B576FB">
      <w:pPr>
        <w:autoSpaceDE w:val="0"/>
        <w:autoSpaceDN w:val="0"/>
        <w:adjustRightInd w:val="0"/>
        <w:spacing w:line="360" w:lineRule="auto"/>
        <w:ind w:right="-82" w:firstLine="360"/>
        <w:jc w:val="both"/>
        <w:rPr>
          <w:rFonts w:ascii="Arial" w:hAnsi="Arial" w:cs="Arial"/>
          <w:i/>
          <w:sz w:val="20"/>
          <w:szCs w:val="20"/>
        </w:rPr>
      </w:pPr>
      <w:r>
        <w:rPr>
          <w:rFonts w:ascii="Arial" w:hAnsi="Arial" w:cs="Arial"/>
          <w:bCs/>
          <w:i/>
          <w:sz w:val="20"/>
          <w:szCs w:val="20"/>
        </w:rPr>
        <w:t>Interventi “indiretti”</w:t>
      </w:r>
    </w:p>
    <w:p w:rsidR="00B576FB" w:rsidRDefault="00B576FB" w:rsidP="00B576FB">
      <w:pPr>
        <w:autoSpaceDE w:val="0"/>
        <w:autoSpaceDN w:val="0"/>
        <w:adjustRightInd w:val="0"/>
        <w:spacing w:line="360" w:lineRule="auto"/>
        <w:ind w:right="-82"/>
        <w:jc w:val="both"/>
        <w:rPr>
          <w:rFonts w:ascii="Arial" w:hAnsi="Arial" w:cs="Arial"/>
          <w:sz w:val="20"/>
          <w:szCs w:val="20"/>
        </w:rPr>
      </w:pPr>
      <w:smartTag w:uri="urn:schemas-microsoft-com:office:smarttags" w:element="PersonName">
        <w:smartTagPr>
          <w:attr w:name="ProductID" w:val="La BEI"/>
        </w:smartTagPr>
        <w:r>
          <w:rPr>
            <w:rFonts w:ascii="Arial" w:hAnsi="Arial" w:cs="Arial"/>
            <w:sz w:val="20"/>
            <w:szCs w:val="20"/>
          </w:rPr>
          <w:t>La Bei</w:t>
        </w:r>
      </w:smartTag>
      <w:r>
        <w:rPr>
          <w:rFonts w:ascii="Arial" w:hAnsi="Arial" w:cs="Arial"/>
          <w:sz w:val="20"/>
          <w:szCs w:val="20"/>
        </w:rPr>
        <w:t xml:space="preserve"> provvede all’attivazione di linee di credito a favore di intermediari locali “accreditati” (banche commerciali, banche specializzate nel micro-credito) che verranno utilizzate da questi ultimi per supportare iniziative non rientranti nei limiti minimi previsti per l’intervento diretto. </w:t>
      </w:r>
    </w:p>
    <w:p w:rsidR="00B576FB" w:rsidRDefault="00B576FB" w:rsidP="00B576FB">
      <w:pPr>
        <w:autoSpaceDE w:val="0"/>
        <w:autoSpaceDN w:val="0"/>
        <w:adjustRightInd w:val="0"/>
        <w:spacing w:line="360" w:lineRule="auto"/>
        <w:ind w:right="-82"/>
        <w:jc w:val="both"/>
        <w:rPr>
          <w:rFonts w:ascii="Arial" w:hAnsi="Arial" w:cs="Arial"/>
          <w:sz w:val="20"/>
          <w:szCs w:val="20"/>
        </w:rPr>
      </w:pPr>
      <w:r>
        <w:rPr>
          <w:rFonts w:ascii="Arial" w:hAnsi="Arial" w:cs="Arial"/>
          <w:bCs/>
          <w:sz w:val="20"/>
          <w:szCs w:val="20"/>
        </w:rPr>
        <w:t>In tali casi</w:t>
      </w:r>
      <w:r>
        <w:rPr>
          <w:rFonts w:ascii="Arial" w:hAnsi="Arial" w:cs="Arial"/>
          <w:sz w:val="20"/>
          <w:szCs w:val="20"/>
        </w:rPr>
        <w:t>l’intervento della BEI non può, di norma, eccedere il 50% del costo totale del Progetto.</w:t>
      </w:r>
    </w:p>
    <w:p w:rsidR="00B576FB" w:rsidRDefault="00B576FB" w:rsidP="00B576FB">
      <w:pPr>
        <w:autoSpaceDE w:val="0"/>
        <w:autoSpaceDN w:val="0"/>
        <w:adjustRightInd w:val="0"/>
        <w:spacing w:line="360" w:lineRule="auto"/>
        <w:ind w:right="-82" w:firstLine="360"/>
        <w:jc w:val="both"/>
        <w:rPr>
          <w:rFonts w:ascii="Arial" w:hAnsi="Arial" w:cs="Arial"/>
          <w:sz w:val="20"/>
          <w:szCs w:val="20"/>
        </w:rPr>
      </w:pPr>
    </w:p>
    <w:p w:rsidR="00B576FB" w:rsidRDefault="00B576FB" w:rsidP="00B576FB">
      <w:pPr>
        <w:autoSpaceDE w:val="0"/>
        <w:autoSpaceDN w:val="0"/>
        <w:adjustRightInd w:val="0"/>
        <w:spacing w:line="360" w:lineRule="auto"/>
        <w:ind w:right="-82"/>
        <w:jc w:val="both"/>
        <w:rPr>
          <w:rFonts w:ascii="Arial" w:hAnsi="Arial" w:cs="Arial"/>
          <w:sz w:val="20"/>
          <w:szCs w:val="20"/>
        </w:rPr>
      </w:pPr>
      <w:r>
        <w:rPr>
          <w:rFonts w:ascii="Arial" w:hAnsi="Arial" w:cs="Arial"/>
          <w:bCs/>
          <w:sz w:val="20"/>
          <w:szCs w:val="20"/>
        </w:rPr>
        <w:t>Riguardo alle modalità di richiesta dell’intervento</w:t>
      </w:r>
      <w:r>
        <w:rPr>
          <w:rFonts w:ascii="Arial" w:hAnsi="Arial" w:cs="Arial"/>
          <w:sz w:val="20"/>
          <w:szCs w:val="20"/>
        </w:rPr>
        <w:t>è necessario distinguere tra i progetti gestiti direttamente dalla BEI per i quali è necessario rivolgersi direttamente alla sede della BEI in Lussemburgo oppure ad uno dei suoi uffici locali con sede nei singoli Paesi beneficiari dell’intervento. Per i progetti gestiti da intermediari finanziari invece è necessario rivolgersi agli intermediari della BEI “accreditati” nel Paese in cui si intende effettuare l’investimento.</w:t>
      </w:r>
    </w:p>
    <w:p w:rsidR="00B576FB" w:rsidRDefault="00B576FB" w:rsidP="00B576FB">
      <w:pPr>
        <w:spacing w:after="0" w:line="360" w:lineRule="auto"/>
        <w:ind w:right="-82"/>
        <w:jc w:val="both"/>
        <w:rPr>
          <w:rFonts w:ascii="Arial" w:hAnsi="Arial" w:cs="Arial"/>
          <w:sz w:val="20"/>
          <w:szCs w:val="20"/>
        </w:rPr>
      </w:pPr>
    </w:p>
    <w:p w:rsidR="00B576FB" w:rsidRDefault="00B576FB" w:rsidP="00B576FB">
      <w:pPr>
        <w:spacing w:after="0" w:line="360" w:lineRule="auto"/>
        <w:ind w:left="360" w:right="-82"/>
        <w:jc w:val="both"/>
        <w:rPr>
          <w:rFonts w:ascii="Arial" w:hAnsi="Arial" w:cs="Arial"/>
          <w:b/>
          <w:sz w:val="20"/>
          <w:szCs w:val="20"/>
        </w:rPr>
      </w:pPr>
      <w:r>
        <w:rPr>
          <w:rFonts w:ascii="Arial" w:hAnsi="Arial" w:cs="Arial"/>
          <w:b/>
          <w:sz w:val="20"/>
          <w:szCs w:val="20"/>
        </w:rPr>
        <w:t xml:space="preserve">5.2. </w:t>
      </w:r>
      <w:smartTag w:uri="urn:schemas-microsoft-com:office:smarttags" w:element="PersonName">
        <w:smartTagPr>
          <w:attr w:name="ProductID" w:val="la Banca"/>
        </w:smartTagPr>
        <w:r>
          <w:rPr>
            <w:rFonts w:ascii="Arial" w:hAnsi="Arial" w:cs="Arial"/>
            <w:b/>
            <w:sz w:val="20"/>
            <w:szCs w:val="20"/>
          </w:rPr>
          <w:t>La Banca</w:t>
        </w:r>
      </w:smartTag>
      <w:r>
        <w:rPr>
          <w:rFonts w:ascii="Arial" w:hAnsi="Arial" w:cs="Arial"/>
          <w:b/>
          <w:sz w:val="20"/>
          <w:szCs w:val="20"/>
        </w:rPr>
        <w:t xml:space="preserve"> europea per la ricostruzione e lo sviluppo (Bers)</w:t>
      </w:r>
    </w:p>
    <w:p w:rsidR="00B576FB" w:rsidRDefault="00B576FB" w:rsidP="00B576FB">
      <w:pPr>
        <w:autoSpaceDE w:val="0"/>
        <w:autoSpaceDN w:val="0"/>
        <w:adjustRightInd w:val="0"/>
        <w:spacing w:line="360" w:lineRule="auto"/>
        <w:ind w:right="-82" w:firstLine="360"/>
        <w:jc w:val="both"/>
        <w:rPr>
          <w:rFonts w:ascii="Arial" w:hAnsi="Arial" w:cs="Arial"/>
          <w:sz w:val="20"/>
          <w:szCs w:val="20"/>
        </w:rPr>
      </w:pPr>
    </w:p>
    <w:p w:rsidR="00B576FB" w:rsidRDefault="00B576FB" w:rsidP="00B576FB">
      <w:pPr>
        <w:autoSpaceDE w:val="0"/>
        <w:autoSpaceDN w:val="0"/>
        <w:adjustRightInd w:val="0"/>
        <w:spacing w:line="360" w:lineRule="auto"/>
        <w:ind w:right="-82"/>
        <w:jc w:val="both"/>
        <w:rPr>
          <w:rFonts w:ascii="Arial" w:hAnsi="Arial" w:cs="Arial"/>
          <w:sz w:val="20"/>
          <w:szCs w:val="20"/>
        </w:rPr>
      </w:pPr>
      <w:smartTag w:uri="urn:schemas-microsoft-com:office:smarttags" w:element="PersonName">
        <w:smartTagPr>
          <w:attr w:name="ProductID" w:val="La BERS"/>
        </w:smartTagPr>
        <w:r>
          <w:rPr>
            <w:rFonts w:ascii="Arial" w:hAnsi="Arial" w:cs="Arial"/>
            <w:sz w:val="20"/>
            <w:szCs w:val="20"/>
          </w:rPr>
          <w:t>La BERS</w:t>
        </w:r>
      </w:smartTag>
      <w:r>
        <w:rPr>
          <w:rFonts w:ascii="Arial" w:hAnsi="Arial" w:cs="Arial"/>
          <w:sz w:val="20"/>
          <w:szCs w:val="20"/>
        </w:rPr>
        <w:t xml:space="preserve"> è un’Istituzione finanziaria internazionale, creata nel 1990 sull’onda degli eventi conseguenti alla caduta del sistema socialista sovietico, allo scopo di sostenere il processo di transizione verso l’economia di mercato nei Paesi dell’Est Europa. </w:t>
      </w:r>
      <w:smartTag w:uri="urn:schemas-microsoft-com:office:smarttags" w:element="PersonName">
        <w:smartTagPr>
          <w:attr w:name="ProductID" w:val="La BERS"/>
        </w:smartTagPr>
        <w:r>
          <w:rPr>
            <w:rFonts w:ascii="Arial" w:hAnsi="Arial" w:cs="Arial"/>
            <w:sz w:val="20"/>
            <w:szCs w:val="20"/>
          </w:rPr>
          <w:t>La BERS</w:t>
        </w:r>
      </w:smartTag>
      <w:r>
        <w:rPr>
          <w:rFonts w:ascii="Arial" w:hAnsi="Arial" w:cs="Arial"/>
          <w:sz w:val="20"/>
          <w:szCs w:val="20"/>
        </w:rPr>
        <w:t xml:space="preserve"> attualmente è detenuta da 61 Paesi oltre che dall’Unione Europea e dalla Banca Europea per gli Investimenti (BEI).</w:t>
      </w:r>
    </w:p>
    <w:p w:rsidR="00B576FB" w:rsidRDefault="00B576FB" w:rsidP="00B576FB">
      <w:pPr>
        <w:autoSpaceDE w:val="0"/>
        <w:autoSpaceDN w:val="0"/>
        <w:adjustRightInd w:val="0"/>
        <w:spacing w:line="360" w:lineRule="auto"/>
        <w:ind w:right="-82"/>
        <w:jc w:val="both"/>
        <w:rPr>
          <w:rFonts w:ascii="Arial" w:hAnsi="Arial" w:cs="Arial"/>
          <w:sz w:val="20"/>
          <w:szCs w:val="20"/>
        </w:rPr>
      </w:pPr>
      <w:r>
        <w:rPr>
          <w:rFonts w:ascii="Arial" w:hAnsi="Arial" w:cs="Arial"/>
          <w:sz w:val="20"/>
          <w:szCs w:val="20"/>
        </w:rPr>
        <w:t xml:space="preserve">Ad oggi </w:t>
      </w:r>
      <w:smartTag w:uri="urn:schemas-microsoft-com:office:smarttags" w:element="PersonName">
        <w:smartTagPr>
          <w:attr w:name="ProductID" w:val="La BERS"/>
        </w:smartTagPr>
        <w:r>
          <w:rPr>
            <w:rFonts w:ascii="Arial" w:hAnsi="Arial" w:cs="Arial"/>
            <w:sz w:val="20"/>
            <w:szCs w:val="20"/>
          </w:rPr>
          <w:t>la BERS</w:t>
        </w:r>
      </w:smartTag>
      <w:r>
        <w:rPr>
          <w:rFonts w:ascii="Arial" w:hAnsi="Arial" w:cs="Arial"/>
          <w:sz w:val="20"/>
          <w:szCs w:val="20"/>
        </w:rPr>
        <w:t xml:space="preserve"> sostiene progetti in 29 Paesi, allo scopo di promuovere lo sviluppo dell’economia di mercato e il progresso economico e sociale nell’Europa orientale e nell’Asia centrale. Essa interviene principalmente a favore del settore privato di tali Paesi, finanziando azioni come l’avvio di nuove attività produttive, l’espansione e la modernizzazione di attività già esistenti, la creazione di Joint Venture, ecc. </w:t>
      </w:r>
    </w:p>
    <w:p w:rsidR="00B576FB" w:rsidRDefault="00B576FB" w:rsidP="00B576FB">
      <w:pPr>
        <w:autoSpaceDE w:val="0"/>
        <w:autoSpaceDN w:val="0"/>
        <w:adjustRightInd w:val="0"/>
        <w:spacing w:line="360" w:lineRule="auto"/>
        <w:ind w:right="-82"/>
        <w:jc w:val="both"/>
        <w:rPr>
          <w:rFonts w:ascii="Arial" w:hAnsi="Arial" w:cs="Arial"/>
          <w:sz w:val="20"/>
          <w:szCs w:val="20"/>
        </w:rPr>
      </w:pPr>
      <w:r>
        <w:rPr>
          <w:rFonts w:ascii="Arial" w:hAnsi="Arial" w:cs="Arial"/>
          <w:sz w:val="20"/>
          <w:szCs w:val="20"/>
        </w:rPr>
        <w:t>Da segnalare, tuttavia, anche il sostegno da essa offerto ai processi di privatizzazione e ristrutturazione delle imprese pubbliche.</w:t>
      </w:r>
    </w:p>
    <w:p w:rsidR="00B576FB" w:rsidRDefault="00B576FB" w:rsidP="00B576FB">
      <w:pPr>
        <w:autoSpaceDE w:val="0"/>
        <w:autoSpaceDN w:val="0"/>
        <w:adjustRightInd w:val="0"/>
        <w:spacing w:line="360" w:lineRule="auto"/>
        <w:ind w:right="-82"/>
        <w:jc w:val="both"/>
        <w:rPr>
          <w:rFonts w:ascii="Arial" w:hAnsi="Arial" w:cs="Arial"/>
          <w:sz w:val="20"/>
          <w:szCs w:val="20"/>
        </w:rPr>
      </w:pPr>
      <w:r>
        <w:rPr>
          <w:rFonts w:ascii="Arial" w:hAnsi="Arial" w:cs="Arial"/>
          <w:sz w:val="20"/>
          <w:szCs w:val="20"/>
        </w:rPr>
        <w:t xml:space="preserve">Oltre a questo </w:t>
      </w:r>
      <w:smartTag w:uri="urn:schemas-microsoft-com:office:smarttags" w:element="PersonName">
        <w:smartTagPr>
          <w:attr w:name="ProductID" w:val="La BERS"/>
        </w:smartTagPr>
        <w:r>
          <w:rPr>
            <w:rFonts w:ascii="Arial" w:hAnsi="Arial" w:cs="Arial"/>
            <w:sz w:val="20"/>
            <w:szCs w:val="20"/>
          </w:rPr>
          <w:t>la BERS</w:t>
        </w:r>
      </w:smartTag>
      <w:r>
        <w:rPr>
          <w:rFonts w:ascii="Arial" w:hAnsi="Arial" w:cs="Arial"/>
          <w:sz w:val="20"/>
          <w:szCs w:val="20"/>
        </w:rPr>
        <w:t xml:space="preserve"> finanzia anche la realizzazione di infrastrutture pubbliche, con un’attenzione particolare ai settori dell’energia e dell’ambiente, nonché dei trasporti. Infine da rilevare anche l’intervento della Banca a sostegno delle Istituzioni finanziarie che operano nei Paesi interessati.</w:t>
      </w:r>
    </w:p>
    <w:p w:rsidR="00B576FB" w:rsidRDefault="00B576FB" w:rsidP="00B576FB">
      <w:pPr>
        <w:autoSpaceDE w:val="0"/>
        <w:autoSpaceDN w:val="0"/>
        <w:adjustRightInd w:val="0"/>
        <w:spacing w:line="360" w:lineRule="auto"/>
        <w:ind w:right="-82"/>
        <w:jc w:val="both"/>
        <w:rPr>
          <w:rFonts w:ascii="Arial" w:hAnsi="Arial" w:cs="Arial"/>
          <w:sz w:val="20"/>
          <w:szCs w:val="20"/>
        </w:rPr>
      </w:pPr>
      <w:r>
        <w:rPr>
          <w:rFonts w:ascii="Arial" w:hAnsi="Arial" w:cs="Arial"/>
          <w:sz w:val="20"/>
          <w:szCs w:val="20"/>
        </w:rPr>
        <w:lastRenderedPageBreak/>
        <w:t>I 29 paesi sopra menzionati sono tutti appartenenti all’area dell’Europa orientale e dell’Asia centrale: Albania, Armenia, Azerbaijan, Bielorussia, Bosnia-Erzegovina, Bulgaria, Croazia, Estonia, ex Repubblica Iugoslava di Macedonia, Georgia, Ungheria, Kazakhstan, Kirghizistan, Lettonia, Lituania, Moldavia, Mongolia, Montenegro, Polonia, Romania, Russia, Serbia, Repubblica Slovacca, Slovenia, Tajikistan, Turchia, Turkmenistan, Ucraina, Uzbekistan.</w:t>
      </w:r>
    </w:p>
    <w:p w:rsidR="00B576FB" w:rsidRDefault="00B576FB" w:rsidP="00B576FB">
      <w:pPr>
        <w:spacing w:line="360" w:lineRule="auto"/>
        <w:ind w:right="-82"/>
        <w:jc w:val="both"/>
        <w:rPr>
          <w:rFonts w:ascii="Arial" w:hAnsi="Arial" w:cs="Arial"/>
          <w:b/>
          <w:sz w:val="20"/>
          <w:szCs w:val="20"/>
        </w:rPr>
      </w:pPr>
      <w:r>
        <w:rPr>
          <w:rFonts w:ascii="Arial" w:hAnsi="Arial" w:cs="Arial"/>
          <w:sz w:val="20"/>
          <w:szCs w:val="20"/>
        </w:rPr>
        <w:t>Possono beneficiare degli strumenti predisposti dalla Bers gli operatori sia pubblici che privati dei 60 paesi membri, tra cui l’Italia.</w:t>
      </w:r>
    </w:p>
    <w:p w:rsidR="00B576FB" w:rsidRDefault="00B576FB" w:rsidP="00B576FB">
      <w:pPr>
        <w:spacing w:line="360" w:lineRule="auto"/>
        <w:ind w:right="-82"/>
        <w:jc w:val="both"/>
        <w:rPr>
          <w:rFonts w:ascii="Arial" w:hAnsi="Arial" w:cs="Arial"/>
          <w:sz w:val="20"/>
          <w:szCs w:val="20"/>
        </w:rPr>
      </w:pPr>
      <w:smartTag w:uri="urn:schemas-microsoft-com:office:smarttags" w:element="PersonName">
        <w:smartTagPr>
          <w:attr w:name="ProductID" w:val="La BERS"/>
        </w:smartTagPr>
        <w:r>
          <w:rPr>
            <w:rFonts w:ascii="Arial" w:hAnsi="Arial" w:cs="Arial"/>
            <w:sz w:val="20"/>
            <w:szCs w:val="20"/>
          </w:rPr>
          <w:t>La Bers</w:t>
        </w:r>
      </w:smartTag>
      <w:r>
        <w:rPr>
          <w:rFonts w:ascii="Arial" w:hAnsi="Arial" w:cs="Arial"/>
          <w:sz w:val="20"/>
          <w:szCs w:val="20"/>
        </w:rPr>
        <w:t>finanzia l’avvio di nuove attività produttive, espansione e/o modernizzazione di attività già esistenti, creazione di Joint Venture. Sono esclusi interventi nei seguenti settori: difesa (armamenti, ecc.), tabacco, alcuni tipi di alcolici e tutte quelle altre sostanze bandite a livello internazionale.</w:t>
      </w:r>
    </w:p>
    <w:p w:rsidR="00B576FB" w:rsidRDefault="00B576FB" w:rsidP="00B576FB">
      <w:pPr>
        <w:spacing w:line="360" w:lineRule="auto"/>
        <w:ind w:right="-82"/>
        <w:jc w:val="both"/>
        <w:rPr>
          <w:rFonts w:ascii="Arial" w:hAnsi="Arial" w:cs="Arial"/>
          <w:sz w:val="20"/>
          <w:szCs w:val="20"/>
        </w:rPr>
      </w:pPr>
      <w:smartTag w:uri="urn:schemas-microsoft-com:office:smarttags" w:element="PersonName">
        <w:smartTagPr>
          <w:attr w:name="ProductID" w:val="La BERS"/>
        </w:smartTagPr>
        <w:r>
          <w:rPr>
            <w:rFonts w:ascii="Arial" w:hAnsi="Arial" w:cs="Arial"/>
            <w:sz w:val="20"/>
            <w:szCs w:val="20"/>
          </w:rPr>
          <w:t>La BERS</w:t>
        </w:r>
      </w:smartTag>
      <w:r>
        <w:rPr>
          <w:rFonts w:ascii="Arial" w:hAnsi="Arial" w:cs="Arial"/>
          <w:sz w:val="20"/>
          <w:szCs w:val="20"/>
        </w:rPr>
        <w:t xml:space="preserve"> opera direttamente o tramite intermediari, principalmente in funzione dell’ammontare dell’intervento richiesto.</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Come già visto nel caso della Bei sono previsti sia interventi di tipo diretto che di tipo indiretto. I primi consistono in  finanziamenti a medio-lungo termine (fino a 15 anni), accordati a tassi competitivi determinati considerando il rischio-Paese e il rischio-Progetto, per importi normalmente superiori ai 5 milioni €. Altra forma di intervento diretto riguarda partecipazioni azionarie e quasi-azionarie, sempre minoritarie e temporanee (tra i 4 e gli 8 anni), per importi oscillanti tra i 2 e i 100 milioni €.</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Gli interventi di tipo indiretto invece consistono nell’attivazione di interventi finanziari (linee di credito, partecipazioni azionarie, ecc.) a favore di intermediari locali “accreditati” (banche commerciali, banche specializzate nel micro-credito, fondi di investimento, società di leasing, ecc.) che verranno utilizzati da questi ultimi per supportare iniziative non rientranti nei limiti minimi previsti per l’intervento diretto.</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 xml:space="preserve">Un’ulteriore forma di intervento della BERS è rappresentata dal “Trade Facilitation Program” che consente l’emissione di garanzie da parte della BERS a supporto di operazioni import/export da parte dei 29 Paesi dell’Europa Centro Orientale e dell’ex Unione Sovietica. Le garanzie sono emesse sotto forma di standby letter of credit, sono prestate a copertura (totale o parziale) del rischio politico e commerciale connesso a specifici strumenti e impegni di pagamento emessi per il regolamento di transazioni commerciali ritenute “ammissibili”. </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 xml:space="preserve">Per quanto riguarda gli importi nell’ipotesi di interventi diretti </w:t>
      </w:r>
      <w:smartTag w:uri="urn:schemas-microsoft-com:office:smarttags" w:element="PersonName">
        <w:smartTagPr>
          <w:attr w:name="ProductID" w:val="La BERS"/>
        </w:smartTagPr>
        <w:r>
          <w:rPr>
            <w:rFonts w:ascii="Arial" w:hAnsi="Arial" w:cs="Arial"/>
            <w:sz w:val="20"/>
            <w:szCs w:val="20"/>
          </w:rPr>
          <w:t>la BERS</w:t>
        </w:r>
      </w:smartTag>
      <w:r>
        <w:rPr>
          <w:rFonts w:ascii="Arial" w:hAnsi="Arial" w:cs="Arial"/>
          <w:sz w:val="20"/>
          <w:szCs w:val="20"/>
        </w:rPr>
        <w:t xml:space="preserve"> finanzia fino al 35% del costo totale di un nuovo Progetto o della capitalizzazione a lungo termine di un’impresa esistente, sempre nel rispetto degli importi finanziari sopra descritti.</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Riguardo invece alle modalità di richiesta dell’intervento per quanto riguarda i progetti gestiti direttamente dalla Bers è necessario rivolgersi direttamente alla sede di Londra della BERS o agli uffici locali con sede nei singoli Paesi. Per i progetti gestiti da intermediari finanziari invece è necessario rivolgersi alle Banche locali autorizzate dalla BERS a effettuare gli interventi sopra descritti.</w:t>
      </w:r>
    </w:p>
    <w:p w:rsidR="00B576FB" w:rsidRDefault="00B576FB" w:rsidP="00B576FB">
      <w:pPr>
        <w:spacing w:after="0" w:line="360" w:lineRule="auto"/>
        <w:ind w:right="-82"/>
        <w:jc w:val="both"/>
        <w:rPr>
          <w:rFonts w:ascii="Arial" w:hAnsi="Arial" w:cs="Arial"/>
          <w:sz w:val="20"/>
          <w:szCs w:val="20"/>
        </w:rPr>
      </w:pPr>
    </w:p>
    <w:p w:rsidR="00B576FB" w:rsidRDefault="00B576FB" w:rsidP="00B576FB">
      <w:pPr>
        <w:spacing w:after="0" w:line="360" w:lineRule="auto"/>
        <w:ind w:right="-82"/>
        <w:jc w:val="both"/>
        <w:rPr>
          <w:rFonts w:ascii="Arial" w:hAnsi="Arial" w:cs="Arial"/>
          <w:sz w:val="20"/>
          <w:szCs w:val="20"/>
        </w:rPr>
      </w:pPr>
    </w:p>
    <w:p w:rsidR="00B576FB" w:rsidRDefault="00B576FB" w:rsidP="00B576FB">
      <w:pPr>
        <w:spacing w:after="0" w:line="360" w:lineRule="auto"/>
        <w:ind w:left="360" w:right="-82"/>
        <w:jc w:val="both"/>
        <w:rPr>
          <w:rFonts w:ascii="Arial" w:hAnsi="Arial" w:cs="Arial"/>
          <w:b/>
          <w:sz w:val="20"/>
          <w:szCs w:val="20"/>
        </w:rPr>
      </w:pPr>
      <w:r>
        <w:rPr>
          <w:rFonts w:ascii="Arial" w:hAnsi="Arial" w:cs="Arial"/>
          <w:b/>
          <w:bCs/>
          <w:sz w:val="20"/>
          <w:szCs w:val="20"/>
        </w:rPr>
        <w:lastRenderedPageBreak/>
        <w:t>5.3. Il Fondo europeo per gli investimenti (Fei)</w:t>
      </w:r>
    </w:p>
    <w:p w:rsidR="00B576FB" w:rsidRDefault="00B576FB" w:rsidP="00B576FB">
      <w:pPr>
        <w:spacing w:line="360" w:lineRule="auto"/>
        <w:ind w:right="-82"/>
        <w:jc w:val="both"/>
        <w:rPr>
          <w:rFonts w:ascii="Arial" w:hAnsi="Arial" w:cs="Arial"/>
          <w:sz w:val="20"/>
          <w:szCs w:val="20"/>
        </w:rPr>
      </w:pP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Il FEI è un’Istituzione europea creata allo scopo di sostenere la nascita, la crescita e lo sviluppo delle PMI europee, principalmente attraverso strumenti di capitale di rischio e di garanzia. Con sede in Lussemburgo, il FEI è attivo principalmente nell’Europa allargata, e cioè nei 27 Stati membri dell’Unione europea, nei Paesi candidati all’adesione e nei 4 Stati membri dell’EFTA (Islanda, Liechtenstein, Norvegia e Svizzera). Attualmente esso è detenuto in maggioranza dalla Banca Europea per gli Investimenti (BEI), ma “tra i suoi azionisti“ ha anche l’Unione Europea ed un certo numero di Istituzioni finanziarie.</w:t>
      </w: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Il Fondo opera in due settori principali:</w:t>
      </w:r>
    </w:p>
    <w:p w:rsidR="00B576FB" w:rsidRDefault="00B576FB" w:rsidP="00B576FB">
      <w:pPr>
        <w:numPr>
          <w:ilvl w:val="0"/>
          <w:numId w:val="6"/>
        </w:numPr>
        <w:spacing w:after="0" w:line="360" w:lineRule="auto"/>
        <w:ind w:right="-82" w:firstLine="360"/>
        <w:jc w:val="both"/>
        <w:rPr>
          <w:rFonts w:ascii="Arial" w:hAnsi="Arial" w:cs="Arial"/>
          <w:sz w:val="20"/>
          <w:szCs w:val="20"/>
        </w:rPr>
      </w:pPr>
      <w:r>
        <w:rPr>
          <w:rFonts w:ascii="Arial" w:hAnsi="Arial" w:cs="Arial"/>
          <w:sz w:val="20"/>
          <w:szCs w:val="20"/>
        </w:rPr>
        <w:t>Capitale di rischio: il FEI investe in fondi che a loro volta sostengano imprese in rapida crescita o operanti in nuovi settori tecnologici.</w:t>
      </w:r>
    </w:p>
    <w:p w:rsidR="00B576FB" w:rsidRDefault="00B576FB" w:rsidP="00B576FB">
      <w:pPr>
        <w:numPr>
          <w:ilvl w:val="0"/>
          <w:numId w:val="6"/>
        </w:numPr>
        <w:spacing w:after="0" w:line="360" w:lineRule="auto"/>
        <w:ind w:right="-82" w:firstLine="360"/>
        <w:jc w:val="both"/>
        <w:rPr>
          <w:rFonts w:ascii="Arial" w:hAnsi="Arial" w:cs="Arial"/>
          <w:sz w:val="20"/>
          <w:szCs w:val="20"/>
        </w:rPr>
      </w:pPr>
      <w:r>
        <w:rPr>
          <w:rFonts w:ascii="Arial" w:hAnsi="Arial" w:cs="Arial"/>
          <w:sz w:val="20"/>
          <w:szCs w:val="20"/>
        </w:rPr>
        <w:t>Garanzie: il FEI rilascia garanzie o contro-garanzie a intermediari finanziari per portafogli di crediti nei confronti delle PMI.</w:t>
      </w:r>
    </w:p>
    <w:p w:rsidR="00B576FB" w:rsidRDefault="00B576FB" w:rsidP="00B576FB">
      <w:pPr>
        <w:spacing w:line="360" w:lineRule="auto"/>
        <w:ind w:right="-82" w:firstLine="360"/>
        <w:jc w:val="both"/>
        <w:rPr>
          <w:rFonts w:ascii="Arial" w:hAnsi="Arial" w:cs="Arial"/>
          <w:sz w:val="20"/>
          <w:szCs w:val="20"/>
        </w:rPr>
      </w:pPr>
    </w:p>
    <w:p w:rsidR="00B576FB" w:rsidRDefault="00B576FB" w:rsidP="00B576FB">
      <w:pPr>
        <w:spacing w:line="360" w:lineRule="auto"/>
        <w:ind w:right="-82"/>
        <w:jc w:val="both"/>
        <w:rPr>
          <w:rFonts w:ascii="Arial" w:hAnsi="Arial" w:cs="Arial"/>
          <w:sz w:val="20"/>
          <w:szCs w:val="20"/>
        </w:rPr>
      </w:pPr>
      <w:r>
        <w:rPr>
          <w:rFonts w:ascii="Arial" w:hAnsi="Arial" w:cs="Arial"/>
          <w:sz w:val="20"/>
          <w:szCs w:val="20"/>
        </w:rPr>
        <w:t xml:space="preserve">Il FEI gestisce per conto dell’UE due iniziative rientranti nell’ambito del Programma Quadro per </w:t>
      </w:r>
      <w:smartTag w:uri="urn:schemas-microsoft-com:office:smarttags" w:element="PersonName">
        <w:smartTagPr>
          <w:attr w:name="ProductID" w:val="la Competitivit￠"/>
        </w:smartTagPr>
        <w:r>
          <w:rPr>
            <w:rFonts w:ascii="Arial" w:hAnsi="Arial" w:cs="Arial"/>
            <w:sz w:val="20"/>
            <w:szCs w:val="20"/>
          </w:rPr>
          <w:t>la Competitività</w:t>
        </w:r>
      </w:smartTag>
      <w:r>
        <w:rPr>
          <w:rFonts w:ascii="Arial" w:hAnsi="Arial" w:cs="Arial"/>
          <w:sz w:val="20"/>
          <w:szCs w:val="20"/>
        </w:rPr>
        <w:t xml:space="preserve"> e l’Innovazione (CIP): lo Strumento a favore delle PMI innovative e a forte crescita (GIF) e lo Strumento relativo alle garanzie per le PMI (SMEG).</w:t>
      </w:r>
    </w:p>
    <w:p w:rsidR="00B576FB" w:rsidRDefault="00B576FB" w:rsidP="00B576FB">
      <w:pPr>
        <w:spacing w:line="360" w:lineRule="auto"/>
        <w:ind w:right="-82" w:firstLine="360"/>
        <w:jc w:val="both"/>
        <w:rPr>
          <w:rFonts w:ascii="Arial" w:hAnsi="Arial" w:cs="Arial"/>
          <w:sz w:val="20"/>
          <w:szCs w:val="20"/>
        </w:rPr>
      </w:pPr>
    </w:p>
    <w:p w:rsidR="00B576FB" w:rsidRDefault="00B576FB" w:rsidP="00B576FB">
      <w:pPr>
        <w:spacing w:line="360" w:lineRule="auto"/>
        <w:ind w:right="-82"/>
        <w:jc w:val="both"/>
        <w:rPr>
          <w:rFonts w:ascii="Arial" w:hAnsi="Arial" w:cs="Arial"/>
          <w:i/>
          <w:sz w:val="20"/>
          <w:szCs w:val="20"/>
        </w:rPr>
      </w:pPr>
      <w:r>
        <w:rPr>
          <w:rFonts w:ascii="Arial" w:hAnsi="Arial" w:cs="Arial"/>
          <w:i/>
          <w:sz w:val="20"/>
          <w:szCs w:val="20"/>
        </w:rPr>
        <w:t xml:space="preserve">Il Programma Quadro per </w:t>
      </w:r>
      <w:smartTag w:uri="urn:schemas-microsoft-com:office:smarttags" w:element="PersonName">
        <w:smartTagPr>
          <w:attr w:name="ProductID" w:val="la Competitivit￠"/>
        </w:smartTagPr>
        <w:r>
          <w:rPr>
            <w:rFonts w:ascii="Arial" w:hAnsi="Arial" w:cs="Arial"/>
            <w:i/>
            <w:sz w:val="20"/>
            <w:szCs w:val="20"/>
          </w:rPr>
          <w:t>la Competitività</w:t>
        </w:r>
      </w:smartTag>
      <w:r>
        <w:rPr>
          <w:rFonts w:ascii="Arial" w:hAnsi="Arial" w:cs="Arial"/>
          <w:i/>
          <w:sz w:val="20"/>
          <w:szCs w:val="20"/>
        </w:rPr>
        <w:t xml:space="preserve"> e l’Innovazione (CIP)</w:t>
      </w:r>
    </w:p>
    <w:p w:rsidR="00B576FB" w:rsidRDefault="00B576FB" w:rsidP="00B576FB">
      <w:pPr>
        <w:spacing w:line="360" w:lineRule="auto"/>
        <w:ind w:right="-82"/>
        <w:jc w:val="both"/>
        <w:rPr>
          <w:rFonts w:ascii="Arial" w:hAnsi="Arial" w:cs="Arial"/>
          <w:i/>
          <w:sz w:val="20"/>
          <w:szCs w:val="20"/>
        </w:rPr>
      </w:pPr>
      <w:r>
        <w:rPr>
          <w:rFonts w:ascii="Arial" w:hAnsi="Arial" w:cs="Arial"/>
          <w:sz w:val="20"/>
          <w:szCs w:val="20"/>
        </w:rPr>
        <w:t>Il CIP è lo strumento dell’Unione Europea (UE) che costituisce la base di tutte le azioni europee volte a stimolare l’innovazione e la competitività. Il CIP si propone di realizzare i seguenti obiettivi:</w:t>
      </w:r>
    </w:p>
    <w:p w:rsidR="00B576FB" w:rsidRDefault="00B576FB" w:rsidP="00B576FB">
      <w:pPr>
        <w:numPr>
          <w:ilvl w:val="0"/>
          <w:numId w:val="7"/>
        </w:numPr>
        <w:spacing w:after="0" w:line="360" w:lineRule="auto"/>
        <w:ind w:right="-82" w:firstLine="360"/>
        <w:jc w:val="both"/>
        <w:rPr>
          <w:rFonts w:ascii="Arial" w:hAnsi="Arial" w:cs="Arial"/>
          <w:i/>
          <w:sz w:val="20"/>
          <w:szCs w:val="20"/>
        </w:rPr>
      </w:pPr>
      <w:r>
        <w:rPr>
          <w:rFonts w:ascii="Arial" w:hAnsi="Arial" w:cs="Arial"/>
          <w:sz w:val="20"/>
          <w:szCs w:val="20"/>
        </w:rPr>
        <w:t>promuovere la competitività delle imprese, soprattutto delle PMI;</w:t>
      </w:r>
    </w:p>
    <w:p w:rsidR="00B576FB" w:rsidRDefault="00B576FB" w:rsidP="00B576FB">
      <w:pPr>
        <w:numPr>
          <w:ilvl w:val="0"/>
          <w:numId w:val="7"/>
        </w:numPr>
        <w:spacing w:after="0" w:line="360" w:lineRule="auto"/>
        <w:ind w:right="-82" w:firstLine="360"/>
        <w:jc w:val="both"/>
        <w:rPr>
          <w:rFonts w:ascii="Arial" w:hAnsi="Arial" w:cs="Arial"/>
          <w:i/>
          <w:sz w:val="20"/>
          <w:szCs w:val="20"/>
        </w:rPr>
      </w:pPr>
      <w:r>
        <w:rPr>
          <w:rFonts w:ascii="Arial" w:hAnsi="Arial" w:cs="Arial"/>
          <w:sz w:val="20"/>
          <w:szCs w:val="20"/>
        </w:rPr>
        <w:t>promuovere l’innovazione, compresa l’eco-innovazione;</w:t>
      </w:r>
    </w:p>
    <w:p w:rsidR="00B576FB" w:rsidRDefault="00B576FB" w:rsidP="00B576FB">
      <w:pPr>
        <w:numPr>
          <w:ilvl w:val="0"/>
          <w:numId w:val="7"/>
        </w:numPr>
        <w:spacing w:after="0" w:line="360" w:lineRule="auto"/>
        <w:ind w:right="-82" w:firstLine="360"/>
        <w:jc w:val="both"/>
        <w:rPr>
          <w:rFonts w:ascii="Arial" w:hAnsi="Arial" w:cs="Arial"/>
          <w:i/>
          <w:sz w:val="20"/>
          <w:szCs w:val="20"/>
        </w:rPr>
      </w:pPr>
      <w:r>
        <w:rPr>
          <w:rFonts w:ascii="Arial" w:hAnsi="Arial" w:cs="Arial"/>
          <w:sz w:val="20"/>
          <w:szCs w:val="20"/>
        </w:rPr>
        <w:t>accelerare lo sviluppo di una società dell’informazione competitiva, innovativa e capace d’integrazione;</w:t>
      </w:r>
    </w:p>
    <w:p w:rsidR="00B576FB" w:rsidRDefault="00B576FB" w:rsidP="00B576FB">
      <w:pPr>
        <w:numPr>
          <w:ilvl w:val="0"/>
          <w:numId w:val="7"/>
        </w:numPr>
        <w:spacing w:after="0" w:line="360" w:lineRule="auto"/>
        <w:ind w:right="-82" w:firstLine="360"/>
        <w:jc w:val="both"/>
        <w:rPr>
          <w:rFonts w:ascii="Arial" w:hAnsi="Arial" w:cs="Arial"/>
          <w:i/>
          <w:sz w:val="20"/>
          <w:szCs w:val="20"/>
        </w:rPr>
      </w:pPr>
      <w:r>
        <w:rPr>
          <w:rFonts w:ascii="Arial" w:hAnsi="Arial" w:cs="Arial"/>
          <w:sz w:val="20"/>
          <w:szCs w:val="20"/>
        </w:rPr>
        <w:t>promuovere l’efficienza energetica e le fonti energetiche nuove e rinnovabili in tutti i settori, quello dei trasporti compreso.</w:t>
      </w:r>
    </w:p>
    <w:p w:rsidR="00B576FB" w:rsidRDefault="00B576FB" w:rsidP="00B576FB">
      <w:pPr>
        <w:autoSpaceDE w:val="0"/>
        <w:autoSpaceDN w:val="0"/>
        <w:adjustRightInd w:val="0"/>
        <w:spacing w:line="360" w:lineRule="auto"/>
        <w:ind w:right="-82"/>
        <w:rPr>
          <w:rFonts w:ascii="Arial" w:hAnsi="Arial" w:cs="Arial"/>
          <w:sz w:val="20"/>
          <w:szCs w:val="20"/>
        </w:rPr>
      </w:pPr>
      <w:r>
        <w:rPr>
          <w:rFonts w:ascii="Arial" w:hAnsi="Arial" w:cs="Arial"/>
          <w:sz w:val="20"/>
          <w:szCs w:val="20"/>
        </w:rPr>
        <w:t>Per realizzare tali obiettivi, il CIP dispone anche dei due strumenti di seguito descritti, gestiti dal FEI.</w:t>
      </w:r>
    </w:p>
    <w:p w:rsidR="00B576FB" w:rsidRDefault="00B576FB" w:rsidP="00B576FB">
      <w:pPr>
        <w:autoSpaceDE w:val="0"/>
        <w:autoSpaceDN w:val="0"/>
        <w:adjustRightInd w:val="0"/>
        <w:spacing w:line="360" w:lineRule="auto"/>
        <w:ind w:right="-82" w:firstLine="360"/>
        <w:jc w:val="both"/>
        <w:rPr>
          <w:rFonts w:ascii="Arial" w:hAnsi="Arial" w:cs="Arial"/>
          <w:i/>
          <w:sz w:val="20"/>
          <w:szCs w:val="20"/>
        </w:rPr>
      </w:pPr>
    </w:p>
    <w:p w:rsidR="00B576FB" w:rsidRDefault="00B576FB" w:rsidP="00B576FB">
      <w:pPr>
        <w:autoSpaceDE w:val="0"/>
        <w:autoSpaceDN w:val="0"/>
        <w:adjustRightInd w:val="0"/>
        <w:spacing w:line="360" w:lineRule="auto"/>
        <w:ind w:right="-82"/>
        <w:jc w:val="both"/>
        <w:rPr>
          <w:rFonts w:ascii="Arial" w:hAnsi="Arial" w:cs="Arial"/>
          <w:i/>
          <w:sz w:val="20"/>
          <w:szCs w:val="20"/>
        </w:rPr>
      </w:pPr>
      <w:r>
        <w:rPr>
          <w:rFonts w:ascii="Arial" w:hAnsi="Arial" w:cs="Arial"/>
          <w:i/>
          <w:sz w:val="20"/>
          <w:szCs w:val="20"/>
        </w:rPr>
        <w:t>Strumento a favore delle PMI innovative e a forte crescita (GIF).</w:t>
      </w:r>
    </w:p>
    <w:p w:rsidR="00B576FB" w:rsidRDefault="00B576FB" w:rsidP="00B576FB">
      <w:pPr>
        <w:autoSpaceDE w:val="0"/>
        <w:autoSpaceDN w:val="0"/>
        <w:adjustRightInd w:val="0"/>
        <w:spacing w:line="360" w:lineRule="auto"/>
        <w:ind w:right="-82"/>
        <w:jc w:val="both"/>
        <w:rPr>
          <w:rFonts w:ascii="Arial" w:hAnsi="Arial" w:cs="Arial"/>
          <w:sz w:val="20"/>
          <w:szCs w:val="20"/>
        </w:rPr>
      </w:pPr>
      <w:r>
        <w:rPr>
          <w:rFonts w:ascii="Arial" w:hAnsi="Arial" w:cs="Arial"/>
          <w:sz w:val="20"/>
          <w:szCs w:val="20"/>
        </w:rPr>
        <w:t>Tale strumento sostiene fondi intermediari di capitale di rischio che a loro volta investano in PMI in fase di start-up o in PMI innovative e con forti potenziali di crescita in fase di espansione. Il GIF si compone di due sezioni:</w:t>
      </w:r>
    </w:p>
    <w:p w:rsidR="00B576FB" w:rsidRDefault="00B576FB" w:rsidP="00B576FB">
      <w:pPr>
        <w:autoSpaceDE w:val="0"/>
        <w:autoSpaceDN w:val="0"/>
        <w:adjustRightInd w:val="0"/>
        <w:spacing w:line="360" w:lineRule="auto"/>
        <w:ind w:right="-82" w:firstLine="360"/>
        <w:jc w:val="both"/>
        <w:rPr>
          <w:rFonts w:ascii="Arial" w:hAnsi="Arial" w:cs="Arial"/>
          <w:sz w:val="20"/>
          <w:szCs w:val="20"/>
        </w:rPr>
      </w:pPr>
      <w:r>
        <w:rPr>
          <w:rFonts w:ascii="Arial" w:hAnsi="Arial" w:cs="Arial"/>
          <w:sz w:val="20"/>
          <w:szCs w:val="20"/>
        </w:rPr>
        <w:lastRenderedPageBreak/>
        <w:t>1) GIF 1: investe in fondi intermediari di capitale di rischio che a loro volta investano in PMI esistenti da non oltre 10 anni, generalmente a partire dalle fasi di costituzione ed avviamento dell’impresa ma anche, in alcuni casi, in una successiva. In genere esso interviene attraverso l’acquisto di partecipazioni minoritarie fino al 25% del capitale azionario totale del fondo, per un massimo di 30 milioni € e per una durata compresa tra i 5 ed i 12 anni elevabile, per ragioni specifiche, fino a 19 anni. La partecipazione del GIF 1 può arrivare a coprire il 50% del valore del fondo nel caso di fondi nuovi che probabilmente svolgeranno un ruolo catalizzatore particolarmente importante nello sviluppo dei capitali di rischio per una tecnologia specifica o in una Regione determinata oppure per strumenti di investimento di investitori informali.</w:t>
      </w:r>
    </w:p>
    <w:p w:rsidR="00B576FB" w:rsidRDefault="00B576FB" w:rsidP="00B576FB">
      <w:pPr>
        <w:autoSpaceDE w:val="0"/>
        <w:autoSpaceDN w:val="0"/>
        <w:adjustRightInd w:val="0"/>
        <w:spacing w:line="360" w:lineRule="auto"/>
        <w:ind w:right="-82" w:firstLine="360"/>
        <w:jc w:val="both"/>
        <w:rPr>
          <w:rFonts w:ascii="Arial" w:hAnsi="Arial" w:cs="Arial"/>
          <w:sz w:val="20"/>
          <w:szCs w:val="20"/>
        </w:rPr>
      </w:pPr>
      <w:r>
        <w:rPr>
          <w:rFonts w:ascii="Arial" w:hAnsi="Arial" w:cs="Arial"/>
          <w:sz w:val="20"/>
          <w:szCs w:val="20"/>
        </w:rPr>
        <w:t>2) GIF 2: investe in fondi intermediari di capitale di rischio che a loro volta investano in PMI innovative e con forti potenziali di crescita, nella fase di espansione dell’impresa stessa. In genere esso interviene attraverso l’acquisto di partecipazioni minoritarie fino al 15% del capitale azionario totale del fondo, per un massimo di 30 milioni € e per una durata compresa tra i 5 ed i 12 anni elevabile, per ragioni specifiche, fino a 19 anni. La partecipazione del GIF 2 può arrivare a coprire il 25% del valore del fondo nei seguenti casi: fondi nuovi che probabilmente svolgeranno un ruolo catalizzatore particolarmente importante nello sviluppo dei capitali di rischio per una tecnologia specifica o in una Regione determinata; fondi che si concentrano su PMI attive nel settore dell’eco-innovazione; fondi costituiti da gruppi di gestione nuovi.</w:t>
      </w:r>
    </w:p>
    <w:p w:rsidR="00B576FB" w:rsidRDefault="00B576FB" w:rsidP="00B576FB">
      <w:pPr>
        <w:autoSpaceDE w:val="0"/>
        <w:autoSpaceDN w:val="0"/>
        <w:adjustRightInd w:val="0"/>
        <w:spacing w:line="360" w:lineRule="auto"/>
        <w:ind w:right="-82" w:firstLine="360"/>
        <w:jc w:val="both"/>
        <w:rPr>
          <w:rFonts w:ascii="Arial" w:hAnsi="Arial" w:cs="Arial"/>
          <w:sz w:val="20"/>
          <w:szCs w:val="20"/>
        </w:rPr>
      </w:pPr>
      <w:r>
        <w:rPr>
          <w:rFonts w:ascii="Arial" w:hAnsi="Arial" w:cs="Arial"/>
          <w:sz w:val="20"/>
          <w:szCs w:val="20"/>
        </w:rPr>
        <w:t>Per ottenere il sostegno del FEI, i fondi interessati devono rivolgersi direttamente ad esso e presentare una richiesta specifica sugli appositi moduli.</w:t>
      </w:r>
    </w:p>
    <w:p w:rsidR="00B576FB" w:rsidRDefault="00B576FB" w:rsidP="00B576FB">
      <w:pPr>
        <w:autoSpaceDE w:val="0"/>
        <w:autoSpaceDN w:val="0"/>
        <w:adjustRightInd w:val="0"/>
        <w:spacing w:line="360" w:lineRule="auto"/>
        <w:ind w:right="-82" w:firstLine="360"/>
        <w:jc w:val="both"/>
        <w:rPr>
          <w:rFonts w:ascii="Arial" w:hAnsi="Arial" w:cs="Arial"/>
          <w:i/>
          <w:sz w:val="20"/>
          <w:szCs w:val="20"/>
        </w:rPr>
      </w:pPr>
    </w:p>
    <w:p w:rsidR="00B576FB" w:rsidRDefault="00B576FB" w:rsidP="00B576FB">
      <w:pPr>
        <w:autoSpaceDE w:val="0"/>
        <w:autoSpaceDN w:val="0"/>
        <w:adjustRightInd w:val="0"/>
        <w:spacing w:line="360" w:lineRule="auto"/>
        <w:ind w:right="-82"/>
        <w:jc w:val="both"/>
        <w:rPr>
          <w:rFonts w:ascii="Arial" w:hAnsi="Arial" w:cs="Arial"/>
          <w:i/>
          <w:sz w:val="20"/>
          <w:szCs w:val="20"/>
        </w:rPr>
      </w:pPr>
      <w:r>
        <w:rPr>
          <w:rFonts w:ascii="Arial" w:hAnsi="Arial" w:cs="Arial"/>
          <w:i/>
          <w:sz w:val="20"/>
          <w:szCs w:val="20"/>
        </w:rPr>
        <w:t xml:space="preserve">Strumento relativo alle garanzie per le PMI (SMEG). </w:t>
      </w:r>
    </w:p>
    <w:p w:rsidR="00B576FB" w:rsidRDefault="00B576FB" w:rsidP="00B576FB">
      <w:pPr>
        <w:autoSpaceDE w:val="0"/>
        <w:autoSpaceDN w:val="0"/>
        <w:adjustRightInd w:val="0"/>
        <w:spacing w:line="360" w:lineRule="auto"/>
        <w:ind w:right="-82"/>
        <w:jc w:val="both"/>
        <w:rPr>
          <w:rFonts w:ascii="Arial" w:hAnsi="Arial" w:cs="Arial"/>
          <w:sz w:val="20"/>
          <w:szCs w:val="20"/>
        </w:rPr>
      </w:pPr>
      <w:r>
        <w:rPr>
          <w:rFonts w:ascii="Arial" w:hAnsi="Arial" w:cs="Arial"/>
          <w:sz w:val="20"/>
          <w:szCs w:val="20"/>
        </w:rPr>
        <w:t>Tale strumento fornisce contro-garanzie o, se necessario, co-garanzie, ai sistemi di garanzia operanti in Europa, oppure garanzie dirette ad altri intermediari finanziari adeguati, con l’obiettivo di migliorare il contesto finanziario in cui operano le imprese. Lo SMEG dispone di quattro sezioni:</w:t>
      </w:r>
    </w:p>
    <w:p w:rsidR="00B576FB" w:rsidRDefault="00B576FB" w:rsidP="00B576FB">
      <w:pPr>
        <w:autoSpaceDE w:val="0"/>
        <w:autoSpaceDN w:val="0"/>
        <w:adjustRightInd w:val="0"/>
        <w:spacing w:line="360" w:lineRule="auto"/>
        <w:ind w:right="-82" w:firstLine="360"/>
        <w:jc w:val="both"/>
        <w:rPr>
          <w:rFonts w:ascii="Arial" w:hAnsi="Arial" w:cs="Arial"/>
          <w:sz w:val="20"/>
          <w:szCs w:val="20"/>
        </w:rPr>
      </w:pPr>
      <w:r>
        <w:rPr>
          <w:rFonts w:ascii="Arial" w:hAnsi="Arial" w:cs="Arial"/>
          <w:sz w:val="20"/>
          <w:szCs w:val="20"/>
        </w:rPr>
        <w:t>1. finanziamento mediante emissione di debiti (prestiti o leasing): offre garanzie, controgaranzie o cogaranzie volte a facilitare la concessione di prestiti o leasing a PMI, soprattutto per investimenti in attività legate alla conoscenza, come lo sviluppo tecnologico, l’innovazione ed il trasferimento di tecnologie;</w:t>
      </w:r>
    </w:p>
    <w:p w:rsidR="00B576FB" w:rsidRDefault="00B576FB" w:rsidP="00B576FB">
      <w:pPr>
        <w:autoSpaceDE w:val="0"/>
        <w:autoSpaceDN w:val="0"/>
        <w:adjustRightInd w:val="0"/>
        <w:spacing w:line="360" w:lineRule="auto"/>
        <w:ind w:right="-82" w:firstLine="360"/>
        <w:jc w:val="both"/>
        <w:rPr>
          <w:rFonts w:ascii="Arial" w:hAnsi="Arial" w:cs="Arial"/>
          <w:sz w:val="20"/>
          <w:szCs w:val="20"/>
        </w:rPr>
      </w:pPr>
      <w:r>
        <w:rPr>
          <w:rFonts w:ascii="Arial" w:hAnsi="Arial" w:cs="Arial"/>
          <w:sz w:val="20"/>
          <w:szCs w:val="20"/>
        </w:rPr>
        <w:t>2. microcredito: offre garanzie, controgaranzie o cogaranzie volte a facilitare la concessione di prestiti di importo limitato (microcredito) a PMI;</w:t>
      </w:r>
    </w:p>
    <w:p w:rsidR="00B576FB" w:rsidRDefault="00B576FB" w:rsidP="00B576FB">
      <w:pPr>
        <w:autoSpaceDE w:val="0"/>
        <w:autoSpaceDN w:val="0"/>
        <w:adjustRightInd w:val="0"/>
        <w:spacing w:line="360" w:lineRule="auto"/>
        <w:ind w:right="-82" w:firstLine="360"/>
        <w:jc w:val="both"/>
        <w:rPr>
          <w:rFonts w:ascii="Arial" w:hAnsi="Arial" w:cs="Arial"/>
          <w:sz w:val="20"/>
          <w:szCs w:val="20"/>
        </w:rPr>
      </w:pPr>
      <w:r>
        <w:rPr>
          <w:rFonts w:ascii="Arial" w:hAnsi="Arial" w:cs="Arial"/>
          <w:sz w:val="20"/>
          <w:szCs w:val="20"/>
        </w:rPr>
        <w:t>3. garanzie per investimenti di capitale netto o quasi capitale netto in PMI: offre garanzie, controgaranzie o cogaranzie a copertura degli investimenti effettuati da fondi locali o regionali che forniscono capitale per la creazione e/o l’avviamento di imprese nonché da fondi di mezzanine finance, allo scopo di ridurre le particolari difficoltà legate ai trasferimenti di imprese;</w:t>
      </w:r>
    </w:p>
    <w:p w:rsidR="00B576FB" w:rsidRDefault="00B576FB" w:rsidP="00B576FB">
      <w:pPr>
        <w:autoSpaceDE w:val="0"/>
        <w:autoSpaceDN w:val="0"/>
        <w:adjustRightInd w:val="0"/>
        <w:spacing w:line="360" w:lineRule="auto"/>
        <w:ind w:right="-82" w:firstLine="360"/>
        <w:jc w:val="both"/>
        <w:rPr>
          <w:rFonts w:ascii="Arial" w:hAnsi="Arial" w:cs="Arial"/>
          <w:sz w:val="20"/>
          <w:szCs w:val="20"/>
        </w:rPr>
      </w:pPr>
      <w:r>
        <w:rPr>
          <w:rFonts w:ascii="Arial" w:hAnsi="Arial" w:cs="Arial"/>
          <w:sz w:val="20"/>
          <w:szCs w:val="20"/>
        </w:rPr>
        <w:t>4. cartolarizzazione di portafogli di crediti concessi a PMI: offre garanzie ad Istituzioni finanziarie su portafogli di crediti concessi a PMI cartolarizzati, a condizione che parte della liquidità derivante dal processo di cartolarizzazione venga impiegata per la concessione di nuovi prestiti a PMI entro un termine ragionevole.</w:t>
      </w:r>
    </w:p>
    <w:p w:rsidR="00B576FB" w:rsidRDefault="00B576FB" w:rsidP="00B576FB">
      <w:pPr>
        <w:autoSpaceDE w:val="0"/>
        <w:autoSpaceDN w:val="0"/>
        <w:adjustRightInd w:val="0"/>
        <w:spacing w:line="360" w:lineRule="auto"/>
        <w:ind w:right="-82"/>
        <w:jc w:val="both"/>
        <w:rPr>
          <w:rFonts w:ascii="Arial" w:hAnsi="Arial" w:cs="Arial"/>
          <w:sz w:val="20"/>
          <w:szCs w:val="20"/>
        </w:rPr>
      </w:pPr>
      <w:r>
        <w:rPr>
          <w:rFonts w:ascii="Arial" w:hAnsi="Arial" w:cs="Arial"/>
          <w:sz w:val="20"/>
          <w:szCs w:val="20"/>
        </w:rPr>
        <w:lastRenderedPageBreak/>
        <w:t>Lo SMEG interviene attraverso garanzie della durata massima di 10 anni, a copertura di una parte del rischio assunto dall’intermediario finanziario in un portafoglio di finanziamento di transazioni individuali, in una percentuale variabile da caso a caso. I sistemi di garanzia o gli intermediari finanziari interessati a tale strumento, devono rivolgersi direttamente al FEI.</w:t>
      </w:r>
    </w:p>
    <w:p w:rsidR="00B576FB" w:rsidRDefault="00B576FB" w:rsidP="00B576FB">
      <w:pPr>
        <w:autoSpaceDE w:val="0"/>
        <w:autoSpaceDN w:val="0"/>
        <w:adjustRightInd w:val="0"/>
        <w:ind w:right="-82" w:firstLine="360"/>
        <w:rPr>
          <w:rFonts w:ascii="Arial" w:hAnsi="Arial" w:cs="Arial"/>
          <w:sz w:val="20"/>
          <w:szCs w:val="20"/>
        </w:rPr>
      </w:pPr>
    </w:p>
    <w:p w:rsidR="00B576FB" w:rsidRDefault="00B576FB" w:rsidP="00B576FB">
      <w:pPr>
        <w:tabs>
          <w:tab w:val="left" w:pos="9180"/>
        </w:tabs>
        <w:autoSpaceDE w:val="0"/>
        <w:autoSpaceDN w:val="0"/>
        <w:adjustRightInd w:val="0"/>
        <w:ind w:right="-82" w:firstLine="360"/>
        <w:rPr>
          <w:rFonts w:ascii="Arial" w:hAnsi="Arial" w:cs="Arial"/>
          <w:b/>
          <w:sz w:val="20"/>
          <w:szCs w:val="20"/>
        </w:rPr>
      </w:pPr>
      <w:r>
        <w:rPr>
          <w:rFonts w:ascii="Arial" w:hAnsi="Arial" w:cs="Arial"/>
          <w:b/>
          <w:sz w:val="20"/>
          <w:szCs w:val="20"/>
        </w:rPr>
        <w:t xml:space="preserve">5.4. </w:t>
      </w:r>
      <w:r>
        <w:rPr>
          <w:rFonts w:ascii="Arial" w:hAnsi="Arial" w:cs="Arial"/>
          <w:b/>
          <w:bCs/>
          <w:sz w:val="20"/>
          <w:szCs w:val="20"/>
        </w:rPr>
        <w:t>IFC</w:t>
      </w:r>
      <w:r>
        <w:rPr>
          <w:rFonts w:ascii="Arial" w:hAnsi="Arial" w:cs="Arial"/>
          <w:b/>
          <w:sz w:val="20"/>
          <w:szCs w:val="20"/>
        </w:rPr>
        <w:t xml:space="preserve"> International Finance Corporation</w:t>
      </w:r>
    </w:p>
    <w:p w:rsidR="00B576FB" w:rsidRDefault="00B576FB" w:rsidP="00B576FB">
      <w:pPr>
        <w:tabs>
          <w:tab w:val="left" w:pos="9180"/>
        </w:tabs>
        <w:autoSpaceDE w:val="0"/>
        <w:autoSpaceDN w:val="0"/>
        <w:adjustRightInd w:val="0"/>
        <w:ind w:right="-82" w:firstLine="360"/>
        <w:rPr>
          <w:rFonts w:ascii="Arial" w:hAnsi="Arial" w:cs="Arial"/>
          <w:sz w:val="20"/>
          <w:szCs w:val="20"/>
        </w:rPr>
      </w:pPr>
    </w:p>
    <w:p w:rsidR="00B576FB" w:rsidRDefault="00B576FB" w:rsidP="00B576FB">
      <w:pPr>
        <w:tabs>
          <w:tab w:val="left" w:pos="9180"/>
        </w:tabs>
        <w:autoSpaceDE w:val="0"/>
        <w:autoSpaceDN w:val="0"/>
        <w:adjustRightInd w:val="0"/>
        <w:spacing w:line="360" w:lineRule="auto"/>
        <w:ind w:right="-82"/>
        <w:jc w:val="both"/>
        <w:rPr>
          <w:rFonts w:ascii="Arial" w:hAnsi="Arial" w:cs="Arial"/>
          <w:sz w:val="20"/>
          <w:szCs w:val="20"/>
        </w:rPr>
      </w:pPr>
      <w:r>
        <w:rPr>
          <w:rFonts w:ascii="Arial" w:hAnsi="Arial" w:cs="Arial"/>
          <w:sz w:val="20"/>
          <w:szCs w:val="20"/>
        </w:rPr>
        <w:t>L’IFC è un’Istituzione appartenente al gruppo della Banca Mondiale dedicata a supportare la promozione degli investimenti privati nei Paesi in Via di Sviluppo, interviene a fianco della Banca Mondiale attraverso investimenti in società commerciali tramite prestiti e partecipazioni azionarie, congiuntamente ad altri investitori.</w:t>
      </w:r>
    </w:p>
    <w:p w:rsidR="00B576FB" w:rsidRDefault="00B576FB" w:rsidP="00B576FB">
      <w:pPr>
        <w:tabs>
          <w:tab w:val="left" w:pos="9180"/>
        </w:tabs>
        <w:autoSpaceDE w:val="0"/>
        <w:autoSpaceDN w:val="0"/>
        <w:adjustRightInd w:val="0"/>
        <w:spacing w:line="360" w:lineRule="auto"/>
        <w:ind w:right="-82"/>
        <w:jc w:val="both"/>
        <w:rPr>
          <w:rFonts w:ascii="Arial" w:hAnsi="Arial" w:cs="Arial"/>
          <w:sz w:val="20"/>
          <w:szCs w:val="20"/>
        </w:rPr>
      </w:pPr>
      <w:r>
        <w:rPr>
          <w:rFonts w:ascii="Arial" w:hAnsi="Arial" w:cs="Arial"/>
          <w:sz w:val="20"/>
          <w:szCs w:val="20"/>
        </w:rPr>
        <w:t xml:space="preserve">Oltre al finanziamento, l’IFC fornisce alle aziende private consulenza finanziaria, legale e tecnica per lo sviluppo ed il potenziamento dell’imprenditoria senza richiedere garanzie governative di rimborso. </w:t>
      </w:r>
    </w:p>
    <w:p w:rsidR="00B576FB" w:rsidRDefault="00B576FB" w:rsidP="00B576FB">
      <w:pPr>
        <w:tabs>
          <w:tab w:val="left" w:pos="9180"/>
        </w:tabs>
        <w:autoSpaceDE w:val="0"/>
        <w:autoSpaceDN w:val="0"/>
        <w:adjustRightInd w:val="0"/>
        <w:spacing w:line="360" w:lineRule="auto"/>
        <w:ind w:right="-82"/>
        <w:jc w:val="both"/>
        <w:rPr>
          <w:rFonts w:ascii="Arial" w:hAnsi="Arial" w:cs="Arial"/>
          <w:sz w:val="20"/>
          <w:szCs w:val="20"/>
        </w:rPr>
      </w:pPr>
      <w:r>
        <w:rPr>
          <w:rFonts w:ascii="Arial" w:hAnsi="Arial" w:cs="Arial"/>
          <w:sz w:val="20"/>
          <w:szCs w:val="20"/>
        </w:rPr>
        <w:t xml:space="preserve">L’Istituzione offre prodotti finanziari differenziati e cumulabili ( si consiglia di visitare il sito dell’IFC periodicamente al fine di individuare le tipologie di sostegno disponibile al momento) e, attraverso la composizione di  più strumenti utilizzabili permette alle PMI di gestire il rischio e di  ampliare l’accesso a mercati di capitali domestici e stranieri. Gli interventi utilizzabili possono essere  individuati attraverso l’analisi delle peculiarità di ciascun Progetto. </w:t>
      </w:r>
    </w:p>
    <w:p w:rsidR="00B576FB" w:rsidRDefault="00B576FB" w:rsidP="00B576FB">
      <w:pPr>
        <w:tabs>
          <w:tab w:val="left" w:pos="9180"/>
        </w:tabs>
        <w:autoSpaceDE w:val="0"/>
        <w:autoSpaceDN w:val="0"/>
        <w:adjustRightInd w:val="0"/>
        <w:spacing w:line="360" w:lineRule="auto"/>
        <w:ind w:right="-82"/>
        <w:jc w:val="both"/>
        <w:rPr>
          <w:rFonts w:ascii="Arial" w:hAnsi="Arial" w:cs="Arial"/>
          <w:sz w:val="20"/>
          <w:szCs w:val="20"/>
        </w:rPr>
      </w:pPr>
      <w:r>
        <w:rPr>
          <w:rFonts w:ascii="Arial" w:hAnsi="Arial" w:cs="Arial"/>
          <w:sz w:val="20"/>
          <w:szCs w:val="20"/>
        </w:rPr>
        <w:t>L’ IFC presenta cinque priorità strategiche per massimizzare il suo impatto sullo sviluppo sostenibile:</w:t>
      </w:r>
    </w:p>
    <w:p w:rsidR="00B576FB" w:rsidRDefault="00B576FB" w:rsidP="00B576FB">
      <w:pPr>
        <w:numPr>
          <w:ilvl w:val="2"/>
          <w:numId w:val="8"/>
        </w:numPr>
        <w:tabs>
          <w:tab w:val="clear" w:pos="2160"/>
          <w:tab w:val="num" w:pos="1068"/>
          <w:tab w:val="left" w:pos="9180"/>
        </w:tabs>
        <w:autoSpaceDE w:val="0"/>
        <w:autoSpaceDN w:val="0"/>
        <w:adjustRightInd w:val="0"/>
        <w:spacing w:after="0" w:line="360" w:lineRule="auto"/>
        <w:ind w:left="1068" w:right="-82"/>
        <w:jc w:val="both"/>
        <w:rPr>
          <w:rFonts w:ascii="Arial" w:hAnsi="Arial" w:cs="Arial"/>
          <w:sz w:val="20"/>
          <w:szCs w:val="20"/>
        </w:rPr>
      </w:pPr>
      <w:r>
        <w:rPr>
          <w:rFonts w:ascii="Arial" w:hAnsi="Arial" w:cs="Arial"/>
          <w:sz w:val="20"/>
          <w:szCs w:val="20"/>
        </w:rPr>
        <w:t>rafforzare la sua attenzione sui mercati di frontiera , in particolare sul settore delle PMI ;</w:t>
      </w:r>
    </w:p>
    <w:p w:rsidR="00B576FB" w:rsidRDefault="00B576FB" w:rsidP="00B576FB">
      <w:pPr>
        <w:numPr>
          <w:ilvl w:val="2"/>
          <w:numId w:val="8"/>
        </w:numPr>
        <w:tabs>
          <w:tab w:val="clear" w:pos="2160"/>
          <w:tab w:val="num" w:pos="1068"/>
          <w:tab w:val="left" w:pos="9180"/>
        </w:tabs>
        <w:autoSpaceDE w:val="0"/>
        <w:autoSpaceDN w:val="0"/>
        <w:adjustRightInd w:val="0"/>
        <w:spacing w:after="0" w:line="360" w:lineRule="auto"/>
        <w:ind w:left="1068" w:right="-82"/>
        <w:jc w:val="both"/>
        <w:rPr>
          <w:rFonts w:ascii="Arial" w:hAnsi="Arial" w:cs="Arial"/>
          <w:sz w:val="20"/>
          <w:szCs w:val="20"/>
        </w:rPr>
      </w:pPr>
      <w:r>
        <w:rPr>
          <w:rFonts w:ascii="Arial" w:hAnsi="Arial" w:cs="Arial"/>
          <w:sz w:val="20"/>
          <w:szCs w:val="20"/>
        </w:rPr>
        <w:t>creare partenariati a lungo termine con operatori globali emergenti nei Paesi in Via di Sviluppo;</w:t>
      </w:r>
    </w:p>
    <w:p w:rsidR="00B576FB" w:rsidRDefault="00B576FB" w:rsidP="00B576FB">
      <w:pPr>
        <w:numPr>
          <w:ilvl w:val="2"/>
          <w:numId w:val="8"/>
        </w:numPr>
        <w:tabs>
          <w:tab w:val="clear" w:pos="2160"/>
          <w:tab w:val="num" w:pos="1068"/>
          <w:tab w:val="left" w:pos="9180"/>
        </w:tabs>
        <w:autoSpaceDE w:val="0"/>
        <w:autoSpaceDN w:val="0"/>
        <w:adjustRightInd w:val="0"/>
        <w:spacing w:after="0" w:line="360" w:lineRule="auto"/>
        <w:ind w:left="1068" w:right="-82"/>
        <w:jc w:val="both"/>
        <w:rPr>
          <w:rFonts w:ascii="Arial" w:hAnsi="Arial" w:cs="Arial"/>
          <w:sz w:val="20"/>
          <w:szCs w:val="20"/>
        </w:rPr>
      </w:pPr>
      <w:r>
        <w:rPr>
          <w:rFonts w:ascii="Arial" w:hAnsi="Arial" w:cs="Arial"/>
          <w:sz w:val="20"/>
          <w:szCs w:val="20"/>
        </w:rPr>
        <w:t>supportare gli interventi legati a cambiamenti climatici, ambiente ed attività di sostenibilità sociale;</w:t>
      </w:r>
    </w:p>
    <w:p w:rsidR="00B576FB" w:rsidRDefault="00B576FB" w:rsidP="00B576FB">
      <w:pPr>
        <w:numPr>
          <w:ilvl w:val="2"/>
          <w:numId w:val="8"/>
        </w:numPr>
        <w:tabs>
          <w:tab w:val="clear" w:pos="2160"/>
          <w:tab w:val="num" w:pos="1068"/>
          <w:tab w:val="left" w:pos="9180"/>
        </w:tabs>
        <w:autoSpaceDE w:val="0"/>
        <w:autoSpaceDN w:val="0"/>
        <w:adjustRightInd w:val="0"/>
        <w:spacing w:after="0" w:line="360" w:lineRule="auto"/>
        <w:ind w:left="1068" w:right="-82"/>
        <w:jc w:val="both"/>
        <w:rPr>
          <w:rFonts w:ascii="Arial" w:hAnsi="Arial" w:cs="Arial"/>
          <w:sz w:val="20"/>
          <w:szCs w:val="20"/>
        </w:rPr>
      </w:pPr>
      <w:r>
        <w:rPr>
          <w:rFonts w:ascii="Arial" w:hAnsi="Arial" w:cs="Arial"/>
          <w:sz w:val="20"/>
          <w:szCs w:val="20"/>
        </w:rPr>
        <w:t>operare sui vincoli agli investimenti privati nelle infrastrutture , la sanità e l’istruzione;</w:t>
      </w:r>
    </w:p>
    <w:p w:rsidR="00B576FB" w:rsidRDefault="00B576FB" w:rsidP="00B576FB">
      <w:pPr>
        <w:numPr>
          <w:ilvl w:val="2"/>
          <w:numId w:val="8"/>
        </w:numPr>
        <w:tabs>
          <w:tab w:val="clear" w:pos="2160"/>
          <w:tab w:val="num" w:pos="1068"/>
          <w:tab w:val="left" w:pos="9180"/>
        </w:tabs>
        <w:autoSpaceDE w:val="0"/>
        <w:autoSpaceDN w:val="0"/>
        <w:adjustRightInd w:val="0"/>
        <w:spacing w:after="0" w:line="360" w:lineRule="auto"/>
        <w:ind w:left="1068" w:right="-82"/>
        <w:jc w:val="both"/>
        <w:rPr>
          <w:rFonts w:ascii="Arial" w:hAnsi="Arial" w:cs="Arial"/>
          <w:sz w:val="20"/>
          <w:szCs w:val="20"/>
        </w:rPr>
      </w:pPr>
      <w:r>
        <w:rPr>
          <w:rFonts w:ascii="Arial" w:hAnsi="Arial" w:cs="Arial"/>
          <w:sz w:val="20"/>
          <w:szCs w:val="20"/>
        </w:rPr>
        <w:t xml:space="preserve">sviluppare mercati finanziari nazionali attraverso il potenziamento istituzionale e l’impiego di prodotti finanziari innovativi. </w:t>
      </w:r>
    </w:p>
    <w:p w:rsidR="00B576FB" w:rsidRDefault="00B576FB" w:rsidP="00B576FB">
      <w:pPr>
        <w:tabs>
          <w:tab w:val="left" w:pos="9180"/>
        </w:tabs>
        <w:autoSpaceDE w:val="0"/>
        <w:autoSpaceDN w:val="0"/>
        <w:adjustRightInd w:val="0"/>
        <w:spacing w:line="360" w:lineRule="auto"/>
        <w:ind w:left="-732" w:right="-82"/>
        <w:jc w:val="both"/>
        <w:rPr>
          <w:rFonts w:ascii="Arial" w:hAnsi="Arial" w:cs="Arial"/>
          <w:sz w:val="20"/>
          <w:szCs w:val="20"/>
        </w:rPr>
      </w:pPr>
    </w:p>
    <w:p w:rsidR="00B576FB" w:rsidRDefault="00B576FB" w:rsidP="00B576FB">
      <w:pPr>
        <w:tabs>
          <w:tab w:val="left" w:pos="9180"/>
        </w:tabs>
        <w:autoSpaceDE w:val="0"/>
        <w:autoSpaceDN w:val="0"/>
        <w:adjustRightInd w:val="0"/>
        <w:spacing w:line="360" w:lineRule="auto"/>
        <w:ind w:right="-82"/>
        <w:jc w:val="both"/>
        <w:rPr>
          <w:rFonts w:ascii="Arial" w:hAnsi="Arial" w:cs="Arial"/>
          <w:sz w:val="20"/>
          <w:szCs w:val="20"/>
        </w:rPr>
      </w:pPr>
      <w:r>
        <w:rPr>
          <w:rFonts w:ascii="Arial" w:hAnsi="Arial" w:cs="Arial"/>
          <w:sz w:val="20"/>
          <w:szCs w:val="20"/>
        </w:rPr>
        <w:t>Le iniziative finanziabili devono essere attuate nei Paesi in Via di Sviluppo che fanno parte dell’IFC, mentre i beneficiari delle agevolazione possono essere si singoli imprenditore che imprese aventi sede in un Paese IFC. Le iniziative  finanziate riguardano l’avvio di nuove attività, l’espansione e il potenziamento di attività già esistenti, la creazione di Joint Ventures, azioni di assistenza tecnica e mobilizzazione di risorse finanziarie a sostegno delle aziende in ristrutturazioni, elaborazione piani aziendali, identificazione di mercati, tecnologie, partner, prodotti.</w:t>
      </w:r>
    </w:p>
    <w:p w:rsidR="00B576FB" w:rsidRDefault="00B576FB" w:rsidP="00B576FB">
      <w:pPr>
        <w:tabs>
          <w:tab w:val="left" w:pos="9180"/>
        </w:tabs>
        <w:autoSpaceDE w:val="0"/>
        <w:autoSpaceDN w:val="0"/>
        <w:adjustRightInd w:val="0"/>
        <w:spacing w:line="360" w:lineRule="auto"/>
        <w:ind w:right="-82"/>
        <w:jc w:val="both"/>
        <w:rPr>
          <w:rFonts w:ascii="Arial" w:hAnsi="Arial" w:cs="Arial"/>
          <w:sz w:val="20"/>
          <w:szCs w:val="20"/>
        </w:rPr>
      </w:pPr>
    </w:p>
    <w:p w:rsidR="00B576FB" w:rsidRDefault="00B576FB" w:rsidP="00B576FB">
      <w:pPr>
        <w:tabs>
          <w:tab w:val="left" w:pos="9180"/>
        </w:tabs>
        <w:autoSpaceDE w:val="0"/>
        <w:autoSpaceDN w:val="0"/>
        <w:adjustRightInd w:val="0"/>
        <w:spacing w:line="360" w:lineRule="auto"/>
        <w:ind w:right="-82"/>
        <w:jc w:val="both"/>
        <w:rPr>
          <w:rFonts w:ascii="Arial" w:hAnsi="Arial" w:cs="Arial"/>
          <w:sz w:val="20"/>
          <w:szCs w:val="20"/>
        </w:rPr>
      </w:pPr>
    </w:p>
    <w:p w:rsidR="00B576FB" w:rsidRDefault="00B576FB" w:rsidP="00B576FB">
      <w:pPr>
        <w:tabs>
          <w:tab w:val="left" w:pos="9180"/>
        </w:tabs>
        <w:autoSpaceDE w:val="0"/>
        <w:autoSpaceDN w:val="0"/>
        <w:adjustRightInd w:val="0"/>
        <w:spacing w:line="360" w:lineRule="auto"/>
        <w:ind w:right="-82"/>
        <w:jc w:val="both"/>
        <w:rPr>
          <w:rFonts w:ascii="Arial" w:hAnsi="Arial" w:cs="Arial"/>
          <w:sz w:val="20"/>
          <w:szCs w:val="20"/>
        </w:rPr>
      </w:pPr>
    </w:p>
    <w:p w:rsidR="00B576FB" w:rsidRDefault="00B576FB" w:rsidP="00B576FB">
      <w:pPr>
        <w:tabs>
          <w:tab w:val="left" w:pos="9180"/>
        </w:tabs>
        <w:autoSpaceDE w:val="0"/>
        <w:autoSpaceDN w:val="0"/>
        <w:adjustRightInd w:val="0"/>
        <w:spacing w:line="360" w:lineRule="auto"/>
        <w:ind w:right="-82"/>
        <w:jc w:val="both"/>
        <w:rPr>
          <w:rFonts w:ascii="Arial" w:hAnsi="Arial" w:cs="Arial"/>
          <w:sz w:val="20"/>
          <w:szCs w:val="20"/>
        </w:rPr>
      </w:pPr>
      <w:r>
        <w:rPr>
          <w:rFonts w:ascii="Arial" w:hAnsi="Arial" w:cs="Arial"/>
          <w:sz w:val="20"/>
          <w:szCs w:val="20"/>
        </w:rPr>
        <w:lastRenderedPageBreak/>
        <w:t>L’IFC interviene attraverso interventi sia diretti che indiretti:</w:t>
      </w:r>
    </w:p>
    <w:p w:rsidR="00B576FB" w:rsidRDefault="00B576FB" w:rsidP="00B576FB">
      <w:pPr>
        <w:tabs>
          <w:tab w:val="left" w:pos="9180"/>
        </w:tabs>
        <w:autoSpaceDE w:val="0"/>
        <w:autoSpaceDN w:val="0"/>
        <w:adjustRightInd w:val="0"/>
        <w:spacing w:line="360" w:lineRule="auto"/>
        <w:ind w:right="-82"/>
        <w:jc w:val="both"/>
        <w:rPr>
          <w:rFonts w:ascii="Arial" w:hAnsi="Arial" w:cs="Arial"/>
          <w:sz w:val="20"/>
          <w:szCs w:val="20"/>
        </w:rPr>
      </w:pPr>
      <w:r>
        <w:rPr>
          <w:rFonts w:ascii="Arial" w:hAnsi="Arial" w:cs="Arial"/>
          <w:bCs/>
          <w:i/>
          <w:sz w:val="20"/>
          <w:szCs w:val="20"/>
        </w:rPr>
        <w:t>interventi diretti</w:t>
      </w:r>
    </w:p>
    <w:p w:rsidR="00B576FB" w:rsidRDefault="00B576FB" w:rsidP="00B576FB">
      <w:pPr>
        <w:numPr>
          <w:ilvl w:val="0"/>
          <w:numId w:val="9"/>
        </w:numPr>
        <w:tabs>
          <w:tab w:val="left" w:pos="9180"/>
        </w:tabs>
        <w:autoSpaceDE w:val="0"/>
        <w:autoSpaceDN w:val="0"/>
        <w:adjustRightInd w:val="0"/>
        <w:spacing w:after="0" w:line="360" w:lineRule="auto"/>
        <w:ind w:right="-82"/>
        <w:jc w:val="both"/>
        <w:rPr>
          <w:rFonts w:ascii="Arial" w:hAnsi="Arial" w:cs="Arial"/>
          <w:sz w:val="20"/>
          <w:szCs w:val="20"/>
        </w:rPr>
      </w:pPr>
      <w:r>
        <w:rPr>
          <w:rFonts w:ascii="Arial" w:hAnsi="Arial" w:cs="Arial"/>
          <w:sz w:val="20"/>
          <w:szCs w:val="20"/>
        </w:rPr>
        <w:t>finanziamenti con fondi propri (IFC A-loans) a medio-lungo termine (7/12 anni) a tassi competitivi definiti in base ai rischi “Paese” e “Progetto” (solo per importi compresi tra 1 e 100 milioni US$).</w:t>
      </w:r>
    </w:p>
    <w:p w:rsidR="00B576FB" w:rsidRDefault="00B576FB" w:rsidP="00B576FB">
      <w:pPr>
        <w:numPr>
          <w:ilvl w:val="0"/>
          <w:numId w:val="9"/>
        </w:numPr>
        <w:tabs>
          <w:tab w:val="left" w:pos="9180"/>
        </w:tabs>
        <w:autoSpaceDE w:val="0"/>
        <w:autoSpaceDN w:val="0"/>
        <w:adjustRightInd w:val="0"/>
        <w:spacing w:after="0" w:line="360" w:lineRule="auto"/>
        <w:ind w:right="-82"/>
        <w:jc w:val="both"/>
        <w:rPr>
          <w:rFonts w:ascii="Arial" w:hAnsi="Arial" w:cs="Arial"/>
          <w:sz w:val="20"/>
          <w:szCs w:val="20"/>
        </w:rPr>
      </w:pPr>
      <w:r>
        <w:rPr>
          <w:rFonts w:ascii="Arial" w:hAnsi="Arial" w:cs="Arial"/>
          <w:sz w:val="20"/>
          <w:szCs w:val="20"/>
        </w:rPr>
        <w:t>finanziamenti sindacati (IFC B-loans) con cui mobilita risorse provenienti dal settore privato e offre alle banche commerciali la possibilità di finanziare progetti supportati per i quali altrimenti le prime non potrebbero intervenire;</w:t>
      </w:r>
    </w:p>
    <w:p w:rsidR="00B576FB" w:rsidRDefault="00B576FB" w:rsidP="00B576FB">
      <w:pPr>
        <w:numPr>
          <w:ilvl w:val="0"/>
          <w:numId w:val="9"/>
        </w:numPr>
        <w:tabs>
          <w:tab w:val="left" w:pos="9180"/>
        </w:tabs>
        <w:autoSpaceDE w:val="0"/>
        <w:autoSpaceDN w:val="0"/>
        <w:adjustRightInd w:val="0"/>
        <w:spacing w:after="0" w:line="360" w:lineRule="auto"/>
        <w:ind w:right="-82"/>
        <w:jc w:val="both"/>
        <w:rPr>
          <w:rFonts w:ascii="Arial" w:hAnsi="Arial" w:cs="Arial"/>
          <w:sz w:val="20"/>
          <w:szCs w:val="20"/>
        </w:rPr>
      </w:pPr>
      <w:r>
        <w:rPr>
          <w:rFonts w:ascii="Arial" w:hAnsi="Arial" w:cs="Arial"/>
          <w:sz w:val="20"/>
          <w:szCs w:val="20"/>
        </w:rPr>
        <w:t>assunzione di partecipazioni azionarie o quasi azionarie minoritarie e temporanee (8-15 anni);</w:t>
      </w:r>
    </w:p>
    <w:p w:rsidR="00B576FB" w:rsidRDefault="00B576FB" w:rsidP="00B576FB">
      <w:pPr>
        <w:numPr>
          <w:ilvl w:val="0"/>
          <w:numId w:val="9"/>
        </w:numPr>
        <w:tabs>
          <w:tab w:val="left" w:pos="9180"/>
        </w:tabs>
        <w:autoSpaceDE w:val="0"/>
        <w:autoSpaceDN w:val="0"/>
        <w:adjustRightInd w:val="0"/>
        <w:spacing w:after="0" w:line="360" w:lineRule="auto"/>
        <w:ind w:right="-82"/>
        <w:jc w:val="both"/>
        <w:rPr>
          <w:rFonts w:ascii="Arial" w:hAnsi="Arial" w:cs="Arial"/>
          <w:sz w:val="20"/>
          <w:szCs w:val="20"/>
        </w:rPr>
      </w:pPr>
      <w:r>
        <w:rPr>
          <w:rFonts w:ascii="Arial" w:hAnsi="Arial" w:cs="Arial"/>
          <w:sz w:val="20"/>
          <w:szCs w:val="20"/>
        </w:rPr>
        <w:t>contributi a fondo perduto per interventi di assistenza tecnica;</w:t>
      </w:r>
    </w:p>
    <w:p w:rsidR="00B576FB" w:rsidRDefault="00B576FB" w:rsidP="00B576FB">
      <w:pPr>
        <w:numPr>
          <w:ilvl w:val="0"/>
          <w:numId w:val="9"/>
        </w:numPr>
        <w:tabs>
          <w:tab w:val="left" w:pos="9180"/>
        </w:tabs>
        <w:autoSpaceDE w:val="0"/>
        <w:autoSpaceDN w:val="0"/>
        <w:adjustRightInd w:val="0"/>
        <w:spacing w:after="0" w:line="360" w:lineRule="auto"/>
        <w:ind w:right="-82"/>
        <w:jc w:val="both"/>
        <w:rPr>
          <w:rFonts w:ascii="Arial" w:hAnsi="Arial" w:cs="Arial"/>
          <w:sz w:val="20"/>
          <w:szCs w:val="20"/>
        </w:rPr>
      </w:pPr>
      <w:r>
        <w:rPr>
          <w:rFonts w:ascii="Arial" w:hAnsi="Arial" w:cs="Arial"/>
          <w:sz w:val="20"/>
          <w:szCs w:val="20"/>
        </w:rPr>
        <w:t>altri servizi finanziari (ad esempio, prestiti subordinati, collocamenti, garanzie, ect.).</w:t>
      </w:r>
    </w:p>
    <w:p w:rsidR="00B576FB" w:rsidRDefault="00B576FB" w:rsidP="00B576FB">
      <w:pPr>
        <w:tabs>
          <w:tab w:val="left" w:pos="9180"/>
        </w:tabs>
        <w:autoSpaceDE w:val="0"/>
        <w:autoSpaceDN w:val="0"/>
        <w:adjustRightInd w:val="0"/>
        <w:spacing w:line="360" w:lineRule="auto"/>
        <w:ind w:right="-82" w:firstLine="360"/>
        <w:jc w:val="both"/>
        <w:rPr>
          <w:rFonts w:ascii="Arial" w:hAnsi="Arial" w:cs="Arial"/>
          <w:bCs/>
          <w:i/>
          <w:sz w:val="20"/>
          <w:szCs w:val="20"/>
        </w:rPr>
      </w:pPr>
    </w:p>
    <w:p w:rsidR="00B576FB" w:rsidRDefault="00B576FB" w:rsidP="00B576FB">
      <w:pPr>
        <w:tabs>
          <w:tab w:val="left" w:pos="9180"/>
        </w:tabs>
        <w:autoSpaceDE w:val="0"/>
        <w:autoSpaceDN w:val="0"/>
        <w:adjustRightInd w:val="0"/>
        <w:spacing w:line="360" w:lineRule="auto"/>
        <w:ind w:right="-82"/>
        <w:jc w:val="both"/>
        <w:rPr>
          <w:rFonts w:ascii="Arial" w:hAnsi="Arial" w:cs="Arial"/>
          <w:sz w:val="20"/>
          <w:szCs w:val="20"/>
        </w:rPr>
      </w:pPr>
      <w:r>
        <w:rPr>
          <w:rFonts w:ascii="Arial" w:hAnsi="Arial" w:cs="Arial"/>
          <w:bCs/>
          <w:i/>
          <w:sz w:val="20"/>
          <w:szCs w:val="20"/>
        </w:rPr>
        <w:t>interventi indiretti</w:t>
      </w:r>
    </w:p>
    <w:p w:rsidR="00B576FB" w:rsidRDefault="00B576FB" w:rsidP="00B576FB">
      <w:pPr>
        <w:tabs>
          <w:tab w:val="left" w:pos="9180"/>
        </w:tabs>
        <w:autoSpaceDE w:val="0"/>
        <w:autoSpaceDN w:val="0"/>
        <w:adjustRightInd w:val="0"/>
        <w:spacing w:line="360" w:lineRule="auto"/>
        <w:ind w:right="-82"/>
        <w:jc w:val="both"/>
        <w:rPr>
          <w:rFonts w:ascii="Arial" w:hAnsi="Arial" w:cs="Arial"/>
          <w:sz w:val="20"/>
          <w:szCs w:val="20"/>
        </w:rPr>
      </w:pPr>
      <w:r>
        <w:rPr>
          <w:rFonts w:ascii="Arial" w:hAnsi="Arial" w:cs="Arial"/>
          <w:bCs/>
          <w:sz w:val="20"/>
          <w:szCs w:val="20"/>
        </w:rPr>
        <w:t>Tra gli strumenti a gestione indiretta meritano menzione</w:t>
      </w:r>
      <w:r>
        <w:rPr>
          <w:rFonts w:ascii="Arial" w:hAnsi="Arial" w:cs="Arial"/>
          <w:bCs/>
          <w:i/>
          <w:sz w:val="20"/>
          <w:szCs w:val="20"/>
        </w:rPr>
        <w:t xml:space="preserve"> i </w:t>
      </w:r>
      <w:r>
        <w:rPr>
          <w:rFonts w:ascii="Arial" w:hAnsi="Arial" w:cs="Arial"/>
          <w:sz w:val="20"/>
          <w:szCs w:val="20"/>
        </w:rPr>
        <w:t>finanziamenti a favore di specifici intermediari locali (banche commerciali, banche specializzate nel micro credito, società di leasing, ect.) per supportare iniziative non rientranti nei limiti di importo previsti per l’intervento diretto e il Global Trade Finance Program. Quest’ultimo è uno schema di garanzie volto al supporto di operazioni di import/export con Paesi Emergenti e PVS (Argentina, Bangladesh, Bolivia, Kenia, Mauritania, Mongolia, Nigeria, Pakistan, Rep. Dominicana Tanzania, Turchia, Zimbawe).</w:t>
      </w:r>
    </w:p>
    <w:p w:rsidR="00B576FB" w:rsidRDefault="00B576FB" w:rsidP="00B576FB">
      <w:pPr>
        <w:tabs>
          <w:tab w:val="left" w:pos="9180"/>
        </w:tabs>
        <w:autoSpaceDE w:val="0"/>
        <w:autoSpaceDN w:val="0"/>
        <w:adjustRightInd w:val="0"/>
        <w:spacing w:line="360" w:lineRule="auto"/>
        <w:ind w:right="-82"/>
        <w:jc w:val="both"/>
        <w:rPr>
          <w:rFonts w:ascii="Arial" w:hAnsi="Arial" w:cs="Arial"/>
          <w:sz w:val="20"/>
          <w:szCs w:val="20"/>
        </w:rPr>
      </w:pPr>
      <w:r>
        <w:rPr>
          <w:rFonts w:ascii="Arial" w:hAnsi="Arial" w:cs="Arial"/>
          <w:sz w:val="20"/>
          <w:szCs w:val="20"/>
        </w:rPr>
        <w:t>Gli importi concessi per gli interventi IFC ammontano solitamente fino al 25% del costo totale di un nuovo Progetto o della capitalizzazione a lungo termine di un’impresa in essere. Per progetti di piccole dimensioni, il limite può essere ampliato al 35%</w:t>
      </w:r>
    </w:p>
    <w:p w:rsidR="00B576FB" w:rsidRDefault="00B576FB" w:rsidP="00B576FB">
      <w:pPr>
        <w:tabs>
          <w:tab w:val="left" w:pos="9180"/>
        </w:tabs>
        <w:autoSpaceDE w:val="0"/>
        <w:autoSpaceDN w:val="0"/>
        <w:adjustRightInd w:val="0"/>
        <w:spacing w:line="360" w:lineRule="auto"/>
        <w:ind w:right="-82" w:firstLine="360"/>
        <w:jc w:val="both"/>
        <w:rPr>
          <w:rFonts w:ascii="Arial" w:hAnsi="Arial" w:cs="Arial"/>
          <w:sz w:val="20"/>
          <w:szCs w:val="20"/>
        </w:rPr>
      </w:pPr>
    </w:p>
    <w:p w:rsidR="00B576FB" w:rsidRDefault="00B576FB" w:rsidP="00B576FB">
      <w:pPr>
        <w:tabs>
          <w:tab w:val="left" w:pos="9180"/>
        </w:tabs>
        <w:autoSpaceDE w:val="0"/>
        <w:autoSpaceDN w:val="0"/>
        <w:adjustRightInd w:val="0"/>
        <w:spacing w:line="360" w:lineRule="auto"/>
        <w:ind w:right="-82" w:firstLine="360"/>
        <w:jc w:val="both"/>
        <w:rPr>
          <w:rFonts w:ascii="Arial" w:hAnsi="Arial" w:cs="Arial"/>
          <w:sz w:val="20"/>
          <w:szCs w:val="20"/>
        </w:rPr>
      </w:pPr>
      <w:r>
        <w:rPr>
          <w:rFonts w:ascii="Arial" w:hAnsi="Arial" w:cs="Arial"/>
          <w:b/>
          <w:sz w:val="20"/>
          <w:szCs w:val="20"/>
        </w:rPr>
        <w:t>5.5.</w:t>
      </w:r>
      <w:r>
        <w:rPr>
          <w:rFonts w:ascii="Arial" w:hAnsi="Arial" w:cs="Arial"/>
          <w:b/>
          <w:bCs/>
          <w:sz w:val="20"/>
          <w:szCs w:val="20"/>
        </w:rPr>
        <w:t>I Fondi strutturali nei paesi UE di nuova adesione</w:t>
      </w:r>
    </w:p>
    <w:p w:rsidR="00B576FB" w:rsidRDefault="00B576FB" w:rsidP="00B576FB">
      <w:pPr>
        <w:tabs>
          <w:tab w:val="left" w:pos="9180"/>
        </w:tabs>
        <w:autoSpaceDE w:val="0"/>
        <w:autoSpaceDN w:val="0"/>
        <w:adjustRightInd w:val="0"/>
        <w:spacing w:line="360" w:lineRule="auto"/>
        <w:ind w:right="-82"/>
        <w:jc w:val="both"/>
        <w:rPr>
          <w:rFonts w:ascii="Arial" w:hAnsi="Arial" w:cs="Arial"/>
          <w:sz w:val="20"/>
          <w:szCs w:val="20"/>
        </w:rPr>
      </w:pPr>
      <w:r>
        <w:rPr>
          <w:rFonts w:ascii="Arial" w:hAnsi="Arial" w:cs="Arial"/>
          <w:sz w:val="20"/>
          <w:szCs w:val="20"/>
        </w:rPr>
        <w:t xml:space="preserve">Meritano un cenno i Fondi Strutturali sono strumenti finanziari appositamente concepiti per attuare la politica regionale europea.  </w:t>
      </w:r>
    </w:p>
    <w:p w:rsidR="00B576FB" w:rsidRDefault="00B576FB" w:rsidP="00B576FB">
      <w:pPr>
        <w:numPr>
          <w:ilvl w:val="0"/>
          <w:numId w:val="10"/>
        </w:numPr>
        <w:tabs>
          <w:tab w:val="left" w:pos="9180"/>
        </w:tabs>
        <w:autoSpaceDE w:val="0"/>
        <w:autoSpaceDN w:val="0"/>
        <w:adjustRightInd w:val="0"/>
        <w:spacing w:line="360" w:lineRule="auto"/>
        <w:ind w:right="-82"/>
        <w:jc w:val="both"/>
        <w:rPr>
          <w:rFonts w:ascii="Arial" w:hAnsi="Arial" w:cs="Arial"/>
          <w:sz w:val="20"/>
          <w:szCs w:val="20"/>
        </w:rPr>
      </w:pPr>
      <w:r>
        <w:rPr>
          <w:rFonts w:ascii="Arial" w:hAnsi="Arial" w:cs="Arial"/>
          <w:sz w:val="20"/>
          <w:szCs w:val="20"/>
        </w:rPr>
        <w:t>La politica regionale dell’Unione Europea ha lo scopo di promuovere la coesione economica e sociale nelle 271 Regioni dei 27 Paesi membri dell’Unione Europea. I Fondi Strutturali sono strumenti finanziari appositamente concepiti per attuare la politica regionale europea, quelli attualmente in vigore (programmazione 2007 – 2013) sono:</w:t>
      </w:r>
    </w:p>
    <w:p w:rsidR="00B576FB" w:rsidRDefault="00B576FB" w:rsidP="00B576FB">
      <w:pPr>
        <w:numPr>
          <w:ilvl w:val="0"/>
          <w:numId w:val="10"/>
        </w:numPr>
        <w:tabs>
          <w:tab w:val="left" w:pos="9180"/>
        </w:tabs>
        <w:autoSpaceDE w:val="0"/>
        <w:autoSpaceDN w:val="0"/>
        <w:adjustRightInd w:val="0"/>
        <w:spacing w:after="0" w:line="360" w:lineRule="auto"/>
        <w:ind w:right="-82"/>
        <w:jc w:val="both"/>
        <w:rPr>
          <w:rFonts w:ascii="Arial" w:hAnsi="Arial" w:cs="Arial"/>
          <w:sz w:val="20"/>
          <w:szCs w:val="20"/>
        </w:rPr>
      </w:pPr>
      <w:r>
        <w:rPr>
          <w:rFonts w:ascii="Arial" w:hAnsi="Arial" w:cs="Arial"/>
          <w:bCs/>
          <w:sz w:val="20"/>
          <w:szCs w:val="20"/>
        </w:rPr>
        <w:t xml:space="preserve">fondo europeo di sviluppo regionale (Fesr): </w:t>
      </w:r>
      <w:r>
        <w:rPr>
          <w:rFonts w:ascii="Arial" w:hAnsi="Arial" w:cs="Arial"/>
          <w:sz w:val="20"/>
          <w:szCs w:val="20"/>
        </w:rPr>
        <w:t>mira a consolidare la coesione economica e sociale dell’Unione Europea correggendo gli squilibri fra le Regioni, attraverso il finanziamento di investimenti realizzati da imprese e di infrastrutture in settori come la ricerca e l’innovazione, le telecomunicazioni, l’ambiente, l’energia ed i trasporti;</w:t>
      </w:r>
    </w:p>
    <w:p w:rsidR="00B576FB" w:rsidRDefault="00B576FB" w:rsidP="00B576FB">
      <w:pPr>
        <w:tabs>
          <w:tab w:val="left" w:pos="9180"/>
        </w:tabs>
        <w:autoSpaceDE w:val="0"/>
        <w:autoSpaceDN w:val="0"/>
        <w:adjustRightInd w:val="0"/>
        <w:spacing w:after="0" w:line="360" w:lineRule="auto"/>
        <w:ind w:left="720" w:right="-82"/>
        <w:jc w:val="both"/>
        <w:rPr>
          <w:rFonts w:ascii="Arial" w:hAnsi="Arial" w:cs="Arial"/>
          <w:sz w:val="20"/>
          <w:szCs w:val="20"/>
        </w:rPr>
      </w:pPr>
    </w:p>
    <w:p w:rsidR="00B576FB" w:rsidRDefault="00B576FB" w:rsidP="00B576FB">
      <w:pPr>
        <w:numPr>
          <w:ilvl w:val="0"/>
          <w:numId w:val="10"/>
        </w:numPr>
        <w:tabs>
          <w:tab w:val="left" w:pos="9180"/>
        </w:tabs>
        <w:autoSpaceDE w:val="0"/>
        <w:autoSpaceDN w:val="0"/>
        <w:adjustRightInd w:val="0"/>
        <w:spacing w:after="0" w:line="360" w:lineRule="auto"/>
        <w:ind w:right="-82"/>
        <w:jc w:val="both"/>
        <w:rPr>
          <w:rFonts w:ascii="Arial" w:hAnsi="Arial" w:cs="Arial"/>
          <w:sz w:val="20"/>
          <w:szCs w:val="20"/>
        </w:rPr>
      </w:pPr>
      <w:r>
        <w:rPr>
          <w:rFonts w:ascii="Arial" w:hAnsi="Arial" w:cs="Arial"/>
          <w:bCs/>
          <w:sz w:val="20"/>
          <w:szCs w:val="20"/>
        </w:rPr>
        <w:lastRenderedPageBreak/>
        <w:t xml:space="preserve">fondo sociale europeo (Fse): </w:t>
      </w:r>
      <w:r>
        <w:rPr>
          <w:rFonts w:ascii="Arial" w:hAnsi="Arial" w:cs="Arial"/>
          <w:sz w:val="20"/>
          <w:szCs w:val="20"/>
        </w:rPr>
        <w:t>suo obiettivo è migliorare l’occupazione e le possibilità di impiego sul territorio dell’Unione Europea, finanziando la formazione e l’inserimento professionale;</w:t>
      </w:r>
    </w:p>
    <w:p w:rsidR="00B576FB" w:rsidRDefault="00B576FB" w:rsidP="00B576FB">
      <w:pPr>
        <w:tabs>
          <w:tab w:val="left" w:pos="9180"/>
        </w:tabs>
        <w:autoSpaceDE w:val="0"/>
        <w:autoSpaceDN w:val="0"/>
        <w:adjustRightInd w:val="0"/>
        <w:spacing w:after="0" w:line="360" w:lineRule="auto"/>
        <w:ind w:right="-82"/>
        <w:jc w:val="both"/>
        <w:rPr>
          <w:rFonts w:ascii="Arial" w:hAnsi="Arial" w:cs="Arial"/>
          <w:sz w:val="20"/>
          <w:szCs w:val="20"/>
        </w:rPr>
      </w:pPr>
    </w:p>
    <w:p w:rsidR="00B576FB" w:rsidRDefault="00B576FB" w:rsidP="00B576FB">
      <w:pPr>
        <w:tabs>
          <w:tab w:val="left" w:pos="9180"/>
        </w:tabs>
        <w:autoSpaceDE w:val="0"/>
        <w:autoSpaceDN w:val="0"/>
        <w:adjustRightInd w:val="0"/>
        <w:spacing w:after="0" w:line="360" w:lineRule="auto"/>
        <w:ind w:left="720" w:right="-82"/>
        <w:jc w:val="both"/>
        <w:rPr>
          <w:rFonts w:ascii="Arial" w:hAnsi="Arial" w:cs="Arial"/>
          <w:sz w:val="20"/>
          <w:szCs w:val="20"/>
        </w:rPr>
      </w:pPr>
    </w:p>
    <w:p w:rsidR="00B576FB" w:rsidRDefault="00B576FB" w:rsidP="00B576FB">
      <w:pPr>
        <w:numPr>
          <w:ilvl w:val="0"/>
          <w:numId w:val="10"/>
        </w:numPr>
        <w:tabs>
          <w:tab w:val="left" w:pos="9180"/>
        </w:tabs>
        <w:autoSpaceDE w:val="0"/>
        <w:autoSpaceDN w:val="0"/>
        <w:adjustRightInd w:val="0"/>
        <w:spacing w:after="0" w:line="360" w:lineRule="auto"/>
        <w:ind w:right="-82"/>
        <w:jc w:val="both"/>
        <w:rPr>
          <w:rFonts w:ascii="Arial" w:hAnsi="Arial" w:cs="Arial"/>
          <w:sz w:val="20"/>
          <w:szCs w:val="20"/>
        </w:rPr>
      </w:pPr>
      <w:r>
        <w:rPr>
          <w:rFonts w:ascii="Arial" w:hAnsi="Arial" w:cs="Arial"/>
          <w:bCs/>
          <w:sz w:val="20"/>
          <w:szCs w:val="20"/>
        </w:rPr>
        <w:t xml:space="preserve">fondo di Coesione: </w:t>
      </w:r>
      <w:r>
        <w:rPr>
          <w:rFonts w:ascii="Arial" w:hAnsi="Arial" w:cs="Arial"/>
          <w:sz w:val="20"/>
          <w:szCs w:val="20"/>
        </w:rPr>
        <w:t>assiste gli Stati membri con un reddito nazionale lordo (RNL) pro capite inferiore al 90% della media comunitaria a recuperare il proprio ritardo economico e sociale e a stabilizzare la propria economia, finanziando investimenti infrastrutturali e a favore dell’ambiente.</w:t>
      </w:r>
    </w:p>
    <w:p w:rsidR="00B576FB" w:rsidRDefault="00B576FB" w:rsidP="00B576FB">
      <w:pPr>
        <w:tabs>
          <w:tab w:val="left" w:pos="9180"/>
        </w:tabs>
        <w:autoSpaceDE w:val="0"/>
        <w:autoSpaceDN w:val="0"/>
        <w:adjustRightInd w:val="0"/>
        <w:spacing w:line="360" w:lineRule="auto"/>
        <w:ind w:right="-82"/>
        <w:jc w:val="both"/>
        <w:rPr>
          <w:rFonts w:ascii="Arial" w:hAnsi="Arial" w:cs="Arial"/>
          <w:sz w:val="20"/>
          <w:szCs w:val="20"/>
        </w:rPr>
      </w:pPr>
    </w:p>
    <w:p w:rsidR="00B576FB" w:rsidRDefault="00B576FB" w:rsidP="00B576FB">
      <w:pPr>
        <w:tabs>
          <w:tab w:val="left" w:pos="9180"/>
        </w:tabs>
        <w:autoSpaceDE w:val="0"/>
        <w:autoSpaceDN w:val="0"/>
        <w:adjustRightInd w:val="0"/>
        <w:spacing w:line="360" w:lineRule="auto"/>
        <w:ind w:right="-82"/>
        <w:jc w:val="both"/>
        <w:rPr>
          <w:rFonts w:ascii="Arial" w:hAnsi="Arial" w:cs="Arial"/>
          <w:sz w:val="20"/>
          <w:szCs w:val="20"/>
        </w:rPr>
      </w:pPr>
      <w:r>
        <w:rPr>
          <w:rFonts w:ascii="Arial" w:hAnsi="Arial" w:cs="Arial"/>
          <w:sz w:val="20"/>
          <w:szCs w:val="20"/>
        </w:rPr>
        <w:t>Gli interventi dell’azione dei Fondi Strutturali per il periodo 2007-2013 devono essere indirizzati alla realizzazione del cosiddetto “Obiettivo Convergenza” ( tende a far convergere le Regioni europee meno sviluppate verso i livelli delle altre, dell’ “</w:t>
      </w:r>
      <w:r>
        <w:rPr>
          <w:rFonts w:ascii="Arial" w:hAnsi="Arial" w:cs="Arial"/>
          <w:bCs/>
          <w:sz w:val="20"/>
          <w:szCs w:val="20"/>
        </w:rPr>
        <w:t xml:space="preserve">obiettivo Competitività regionale e occupazione” (tende a </w:t>
      </w:r>
      <w:r>
        <w:rPr>
          <w:rFonts w:ascii="Arial" w:hAnsi="Arial" w:cs="Arial"/>
          <w:sz w:val="20"/>
          <w:szCs w:val="20"/>
        </w:rPr>
        <w:t>stimolare la competitività e favorire la creazione di nuova occupazione nelle altre Regioni) , dell’ “</w:t>
      </w:r>
      <w:r>
        <w:rPr>
          <w:rFonts w:ascii="Arial" w:hAnsi="Arial" w:cs="Arial"/>
          <w:bCs/>
          <w:sz w:val="20"/>
          <w:szCs w:val="20"/>
        </w:rPr>
        <w:t>obiettivo Cooperazione territoriale</w:t>
      </w:r>
      <w:r>
        <w:rPr>
          <w:rFonts w:ascii="Arial" w:hAnsi="Arial" w:cs="Arial"/>
          <w:sz w:val="20"/>
          <w:szCs w:val="20"/>
        </w:rPr>
        <w:t xml:space="preserve"> “ ( tende a favorire un’integrazione del territorio europeo armoniosa ed equilibrata, stimolando la cooperazione transfrontaliera, transnazionale e interregionale). Il documento programmatico di base dei Fondi Strutturali per ciascun Paese è rappresentato dal </w:t>
      </w:r>
      <w:r>
        <w:rPr>
          <w:rFonts w:ascii="Arial" w:hAnsi="Arial" w:cs="Arial"/>
          <w:bCs/>
          <w:sz w:val="20"/>
          <w:szCs w:val="20"/>
        </w:rPr>
        <w:t xml:space="preserve">Quadro di riferimento strategico nazionale (Qsn), </w:t>
      </w:r>
      <w:r>
        <w:rPr>
          <w:rFonts w:ascii="Arial" w:hAnsi="Arial" w:cs="Arial"/>
          <w:sz w:val="20"/>
          <w:szCs w:val="20"/>
        </w:rPr>
        <w:t xml:space="preserve">che stabilisce la strategia di intervento dei Fondi sul territorio di un singolo Stato. Leattività dei Fondi negli Stati membri, sono poi disciplinate attraverso </w:t>
      </w:r>
      <w:r>
        <w:rPr>
          <w:rFonts w:ascii="Arial" w:hAnsi="Arial" w:cs="Arial"/>
          <w:bCs/>
          <w:sz w:val="20"/>
          <w:szCs w:val="20"/>
        </w:rPr>
        <w:t xml:space="preserve">programmi operativi </w:t>
      </w:r>
      <w:r>
        <w:rPr>
          <w:rFonts w:ascii="Arial" w:hAnsi="Arial" w:cs="Arial"/>
          <w:sz w:val="20"/>
          <w:szCs w:val="20"/>
        </w:rPr>
        <w:t xml:space="preserve">validi per l’intero periodo2007-2013. Per gli Obiettivi Convergenza e Competitività regionale e occupazione, tali Programmi Operativi sonostabiliti a livello regionale (o in alcuni casi nazionale). </w:t>
      </w:r>
    </w:p>
    <w:p w:rsidR="00B576FB" w:rsidRDefault="00B576FB" w:rsidP="00B576FB">
      <w:pPr>
        <w:spacing w:line="360" w:lineRule="auto"/>
        <w:ind w:left="360" w:right="92"/>
        <w:jc w:val="both"/>
        <w:rPr>
          <w:rFonts w:ascii="Arial" w:hAnsi="Arial" w:cs="Arial"/>
          <w:sz w:val="24"/>
          <w:szCs w:val="24"/>
        </w:rPr>
      </w:pPr>
      <w:r>
        <w:rPr>
          <w:rFonts w:ascii="Arial" w:hAnsi="Arial" w:cs="Arial"/>
          <w:sz w:val="20"/>
          <w:szCs w:val="20"/>
        </w:rPr>
        <w:br w:type="page"/>
      </w:r>
      <w:r>
        <w:rPr>
          <w:rFonts w:ascii="Arial" w:hAnsi="Arial" w:cs="Arial"/>
          <w:b/>
          <w:sz w:val="24"/>
          <w:szCs w:val="24"/>
        </w:rPr>
        <w:lastRenderedPageBreak/>
        <w:t>B) ASSICURAZIONE DEI CREDITI ALL'ESPORTAZIONE E PRODOTTI SACE</w:t>
      </w:r>
    </w:p>
    <w:p w:rsidR="00B576FB" w:rsidRDefault="00B576FB" w:rsidP="00B576FB">
      <w:pPr>
        <w:spacing w:line="360" w:lineRule="auto"/>
        <w:ind w:left="360" w:right="92"/>
        <w:jc w:val="both"/>
        <w:rPr>
          <w:rFonts w:ascii="Arial" w:hAnsi="Arial" w:cs="Arial"/>
          <w:sz w:val="20"/>
          <w:szCs w:val="20"/>
        </w:rPr>
      </w:pPr>
    </w:p>
    <w:p w:rsidR="00B576FB" w:rsidRDefault="00B576FB" w:rsidP="00B576FB">
      <w:pPr>
        <w:spacing w:line="360" w:lineRule="auto"/>
        <w:ind w:left="360" w:right="92"/>
        <w:jc w:val="both"/>
        <w:rPr>
          <w:rFonts w:ascii="Arial" w:hAnsi="Arial" w:cs="Arial"/>
          <w:sz w:val="20"/>
          <w:szCs w:val="20"/>
        </w:rPr>
      </w:pPr>
      <w:r>
        <w:rPr>
          <w:rFonts w:ascii="Arial" w:hAnsi="Arial" w:cs="Arial"/>
          <w:sz w:val="20"/>
          <w:szCs w:val="20"/>
        </w:rPr>
        <w:t>SOMMARIO</w:t>
      </w:r>
    </w:p>
    <w:p w:rsidR="00B576FB" w:rsidRDefault="00B576FB" w:rsidP="00B576FB">
      <w:pPr>
        <w:spacing w:line="360" w:lineRule="auto"/>
        <w:ind w:left="360" w:right="92"/>
        <w:jc w:val="both"/>
        <w:rPr>
          <w:rFonts w:ascii="Arial" w:hAnsi="Arial" w:cs="Arial"/>
          <w:i/>
          <w:sz w:val="20"/>
          <w:szCs w:val="20"/>
        </w:rPr>
      </w:pPr>
    </w:p>
    <w:p w:rsidR="00B576FB" w:rsidRDefault="00B576FB" w:rsidP="00B576FB">
      <w:pPr>
        <w:spacing w:line="360" w:lineRule="auto"/>
        <w:ind w:left="360" w:right="92"/>
        <w:jc w:val="both"/>
        <w:rPr>
          <w:rFonts w:ascii="Arial" w:hAnsi="Arial" w:cs="Arial"/>
          <w:i/>
          <w:sz w:val="20"/>
          <w:szCs w:val="20"/>
        </w:rPr>
      </w:pPr>
      <w:r>
        <w:rPr>
          <w:rFonts w:ascii="Arial" w:hAnsi="Arial" w:cs="Arial"/>
          <w:i/>
          <w:sz w:val="20"/>
          <w:szCs w:val="20"/>
        </w:rPr>
        <w:t>1. Introduzione</w:t>
      </w:r>
    </w:p>
    <w:p w:rsidR="00B576FB" w:rsidRDefault="00B576FB" w:rsidP="00B576FB">
      <w:pPr>
        <w:spacing w:line="360" w:lineRule="auto"/>
        <w:ind w:left="360" w:right="92"/>
        <w:jc w:val="both"/>
        <w:rPr>
          <w:rFonts w:ascii="Arial" w:hAnsi="Arial" w:cs="Arial"/>
          <w:i/>
          <w:sz w:val="20"/>
          <w:szCs w:val="20"/>
        </w:rPr>
      </w:pPr>
      <w:r>
        <w:rPr>
          <w:rFonts w:ascii="Arial" w:hAnsi="Arial" w:cs="Arial"/>
          <w:i/>
          <w:sz w:val="20"/>
          <w:szCs w:val="20"/>
        </w:rPr>
        <w:t>2. L’assicurazione dei crediti all’esportazione</w:t>
      </w:r>
    </w:p>
    <w:p w:rsidR="00B576FB" w:rsidRDefault="00B576FB" w:rsidP="00B576FB">
      <w:pPr>
        <w:ind w:left="360" w:right="92"/>
        <w:rPr>
          <w:rFonts w:ascii="Arial" w:hAnsi="Arial" w:cs="Arial"/>
          <w:i/>
          <w:sz w:val="20"/>
          <w:szCs w:val="20"/>
        </w:rPr>
      </w:pPr>
      <w:r>
        <w:rPr>
          <w:rFonts w:ascii="Arial" w:hAnsi="Arial" w:cs="Arial"/>
          <w:i/>
          <w:sz w:val="20"/>
          <w:szCs w:val="20"/>
        </w:rPr>
        <w:t>3. Il sostegno pubblico a tutela dei crediti derivanti da esportazioni e la normativa comunitaria.</w:t>
      </w:r>
    </w:p>
    <w:p w:rsidR="00B576FB" w:rsidRDefault="00B576FB" w:rsidP="00B576FB">
      <w:pPr>
        <w:spacing w:before="100" w:after="100" w:line="360" w:lineRule="auto"/>
        <w:ind w:left="360" w:right="92"/>
        <w:jc w:val="both"/>
        <w:rPr>
          <w:rFonts w:ascii="Arial" w:hAnsi="Arial" w:cs="Arial"/>
          <w:i/>
          <w:sz w:val="20"/>
          <w:szCs w:val="20"/>
        </w:rPr>
      </w:pPr>
      <w:r>
        <w:rPr>
          <w:rFonts w:ascii="Arial" w:hAnsi="Arial" w:cs="Arial"/>
          <w:i/>
          <w:sz w:val="20"/>
          <w:szCs w:val="20"/>
        </w:rPr>
        <w:t>4. Il sostegno pubblico: gli strumenti Sace</w:t>
      </w:r>
    </w:p>
    <w:p w:rsidR="00B576FB" w:rsidRDefault="00B576FB" w:rsidP="00B576FB">
      <w:pPr>
        <w:autoSpaceDE w:val="0"/>
        <w:autoSpaceDN w:val="0"/>
        <w:adjustRightInd w:val="0"/>
        <w:spacing w:line="360" w:lineRule="auto"/>
        <w:ind w:left="360" w:right="92"/>
        <w:jc w:val="both"/>
        <w:rPr>
          <w:rFonts w:ascii="Arial" w:hAnsi="Arial" w:cs="Arial"/>
          <w:i/>
          <w:sz w:val="20"/>
          <w:szCs w:val="20"/>
        </w:rPr>
      </w:pPr>
      <w:r>
        <w:rPr>
          <w:rFonts w:ascii="Arial" w:hAnsi="Arial" w:cs="Arial"/>
          <w:i/>
          <w:sz w:val="20"/>
          <w:szCs w:val="20"/>
        </w:rPr>
        <w:t>5. Sace: Prodotti Assicurativi e finanziari a tutela dei rischi di mancato pagamento</w:t>
      </w:r>
    </w:p>
    <w:p w:rsidR="00B576FB" w:rsidRDefault="00B576FB" w:rsidP="00B576FB">
      <w:pPr>
        <w:autoSpaceDE w:val="0"/>
        <w:autoSpaceDN w:val="0"/>
        <w:adjustRightInd w:val="0"/>
        <w:spacing w:line="360" w:lineRule="auto"/>
        <w:ind w:left="360" w:right="92"/>
        <w:jc w:val="both"/>
        <w:rPr>
          <w:rFonts w:ascii="Arial" w:hAnsi="Arial" w:cs="Arial"/>
          <w:i/>
          <w:sz w:val="20"/>
          <w:szCs w:val="20"/>
        </w:rPr>
      </w:pPr>
      <w:r>
        <w:rPr>
          <w:rFonts w:ascii="Arial" w:hAnsi="Arial" w:cs="Arial"/>
          <w:i/>
          <w:sz w:val="20"/>
          <w:szCs w:val="20"/>
        </w:rPr>
        <w:t>6. Sace: Prodotti Bancari</w:t>
      </w:r>
    </w:p>
    <w:p w:rsidR="00B576FB" w:rsidRDefault="00B576FB" w:rsidP="00B576FB">
      <w:pPr>
        <w:autoSpaceDE w:val="0"/>
        <w:autoSpaceDN w:val="0"/>
        <w:adjustRightInd w:val="0"/>
        <w:spacing w:line="360" w:lineRule="auto"/>
        <w:ind w:left="360" w:right="92"/>
        <w:jc w:val="both"/>
        <w:rPr>
          <w:rFonts w:ascii="Arial" w:hAnsi="Arial" w:cs="Arial"/>
          <w:i/>
          <w:sz w:val="20"/>
          <w:szCs w:val="20"/>
        </w:rPr>
      </w:pPr>
      <w:r>
        <w:rPr>
          <w:rFonts w:ascii="Arial" w:hAnsi="Arial" w:cs="Arial"/>
          <w:i/>
          <w:sz w:val="20"/>
          <w:szCs w:val="20"/>
        </w:rPr>
        <w:t>7. Sace: Garanzie finanziarie e cauzioni</w:t>
      </w:r>
    </w:p>
    <w:p w:rsidR="00B576FB" w:rsidRDefault="00B576FB" w:rsidP="00B576FB">
      <w:pPr>
        <w:autoSpaceDE w:val="0"/>
        <w:autoSpaceDN w:val="0"/>
        <w:adjustRightInd w:val="0"/>
        <w:spacing w:line="360" w:lineRule="auto"/>
        <w:ind w:left="360" w:right="92"/>
        <w:jc w:val="both"/>
        <w:rPr>
          <w:rFonts w:ascii="Arial" w:hAnsi="Arial" w:cs="Arial"/>
          <w:i/>
          <w:sz w:val="20"/>
          <w:szCs w:val="20"/>
        </w:rPr>
      </w:pPr>
      <w:r>
        <w:rPr>
          <w:rFonts w:ascii="Arial" w:hAnsi="Arial" w:cs="Arial"/>
          <w:i/>
          <w:sz w:val="20"/>
          <w:szCs w:val="20"/>
        </w:rPr>
        <w:t>8. Sace: Prodotti per migliorare le condizioni di accesso al credito bancario</w:t>
      </w:r>
    </w:p>
    <w:p w:rsidR="00B576FB" w:rsidRDefault="00B576FB" w:rsidP="00B576FB">
      <w:pPr>
        <w:autoSpaceDE w:val="0"/>
        <w:autoSpaceDN w:val="0"/>
        <w:adjustRightInd w:val="0"/>
        <w:spacing w:line="360" w:lineRule="auto"/>
        <w:ind w:left="360" w:right="92"/>
        <w:jc w:val="both"/>
        <w:rPr>
          <w:rFonts w:ascii="Arial" w:hAnsi="Arial" w:cs="Arial"/>
          <w:i/>
          <w:sz w:val="20"/>
          <w:szCs w:val="20"/>
        </w:rPr>
      </w:pPr>
      <w:r>
        <w:rPr>
          <w:rFonts w:ascii="Arial" w:hAnsi="Arial" w:cs="Arial"/>
          <w:i/>
          <w:sz w:val="20"/>
          <w:szCs w:val="20"/>
        </w:rPr>
        <w:t>9. Sace: Prodotti finalizzati alla protezione degli investimenti all’estero</w:t>
      </w:r>
    </w:p>
    <w:p w:rsidR="00B576FB" w:rsidRDefault="00B576FB" w:rsidP="00B576FB">
      <w:pPr>
        <w:autoSpaceDE w:val="0"/>
        <w:autoSpaceDN w:val="0"/>
        <w:adjustRightInd w:val="0"/>
        <w:spacing w:line="360" w:lineRule="auto"/>
        <w:ind w:left="360" w:right="92"/>
        <w:jc w:val="both"/>
        <w:rPr>
          <w:rFonts w:ascii="Arial" w:hAnsi="Arial" w:cs="Arial"/>
          <w:i/>
          <w:sz w:val="20"/>
          <w:szCs w:val="20"/>
        </w:rPr>
      </w:pPr>
      <w:r>
        <w:rPr>
          <w:rFonts w:ascii="Arial" w:hAnsi="Arial" w:cs="Arial"/>
          <w:i/>
          <w:sz w:val="20"/>
          <w:szCs w:val="20"/>
        </w:rPr>
        <w:t>10. Sace: Prodotti per migliorare la liquidità aziendale</w:t>
      </w:r>
    </w:p>
    <w:p w:rsidR="00B576FB" w:rsidRDefault="00B576FB" w:rsidP="00B576FB">
      <w:pPr>
        <w:spacing w:line="360" w:lineRule="auto"/>
        <w:ind w:left="360" w:right="92"/>
        <w:jc w:val="both"/>
        <w:rPr>
          <w:rFonts w:ascii="Arial" w:hAnsi="Arial" w:cs="Arial"/>
          <w:b/>
          <w:sz w:val="20"/>
          <w:szCs w:val="20"/>
        </w:rPr>
      </w:pPr>
      <w:r>
        <w:rPr>
          <w:rFonts w:ascii="Arial" w:hAnsi="Arial" w:cs="Arial"/>
          <w:sz w:val="20"/>
          <w:szCs w:val="20"/>
        </w:rPr>
        <w:br w:type="page"/>
      </w:r>
      <w:r>
        <w:rPr>
          <w:rFonts w:ascii="Arial" w:hAnsi="Arial" w:cs="Arial"/>
          <w:b/>
          <w:sz w:val="20"/>
          <w:szCs w:val="20"/>
        </w:rPr>
        <w:lastRenderedPageBreak/>
        <w:t>1. Introduzione</w:t>
      </w:r>
    </w:p>
    <w:p w:rsidR="00B576FB" w:rsidRDefault="00B576FB" w:rsidP="00B576FB">
      <w:pPr>
        <w:spacing w:line="360" w:lineRule="auto"/>
        <w:ind w:left="360" w:right="92"/>
        <w:jc w:val="both"/>
        <w:rPr>
          <w:rFonts w:ascii="Arial" w:hAnsi="Arial" w:cs="Arial"/>
          <w:sz w:val="20"/>
          <w:szCs w:val="20"/>
        </w:rPr>
      </w:pPr>
      <w:r>
        <w:rPr>
          <w:rFonts w:ascii="Arial" w:hAnsi="Arial" w:cs="Arial"/>
          <w:sz w:val="20"/>
          <w:szCs w:val="20"/>
        </w:rPr>
        <w:t>In un contesto economico globale che tiene conto di molteplici fattori tra i quali non è da trascurare il potere contrattuale delle parti e la competitività delle condizioni di pagamento praticate, nonché dell’opportunità di richiedere a potenziali acquirenti strumenti cautelativi quali ad es. il credito documentario piuttosto che l’emissione di garanzie, l’altra forma di tutela che l’esportatore deve prendere in considerazione al fine di tutelarsi dal rischio di insoluto è l’assicurazione del credito.</w:t>
      </w:r>
    </w:p>
    <w:p w:rsidR="00B576FB" w:rsidRDefault="00B576FB" w:rsidP="00B576FB">
      <w:pPr>
        <w:spacing w:line="360" w:lineRule="auto"/>
        <w:ind w:left="360" w:right="92"/>
        <w:jc w:val="both"/>
        <w:rPr>
          <w:rFonts w:ascii="Arial" w:hAnsi="Arial" w:cs="Arial"/>
          <w:sz w:val="20"/>
          <w:szCs w:val="20"/>
        </w:rPr>
      </w:pPr>
      <w:r>
        <w:rPr>
          <w:rFonts w:ascii="Arial" w:hAnsi="Arial" w:cs="Arial"/>
          <w:sz w:val="20"/>
          <w:szCs w:val="20"/>
        </w:rPr>
        <w:t>L'assicurazione dei crediti consiste in una copertura assicurativa contro il rischio di mancato pagamento, derivante da diverse tipologie di rischi, allo scopo di garantire l'impresa nel momento in cui, con la vendita di un bene e/o di un servizio, la stessa non riscuota l'importo a causa di una insolvenza di fatto o di diritto del debitore piuttosto che da eventi di natura politica.</w:t>
      </w:r>
    </w:p>
    <w:p w:rsidR="00B576FB" w:rsidRDefault="00B576FB" w:rsidP="00B576FB">
      <w:pPr>
        <w:spacing w:line="360" w:lineRule="auto"/>
        <w:ind w:left="360" w:right="92"/>
        <w:jc w:val="both"/>
        <w:rPr>
          <w:rFonts w:ascii="Arial" w:hAnsi="Arial" w:cs="Arial"/>
          <w:sz w:val="20"/>
          <w:szCs w:val="20"/>
        </w:rPr>
      </w:pPr>
      <w:r>
        <w:rPr>
          <w:rFonts w:ascii="Arial" w:hAnsi="Arial" w:cs="Arial"/>
          <w:sz w:val="20"/>
          <w:szCs w:val="20"/>
        </w:rPr>
        <w:t xml:space="preserve">Possono essere sottoposti a copertura sia i crediti derivanti da rapporti di compravendita sul mercato domestico ( di solito attraverso la stipula di contratti di assicurazione cosiddetti “globali”), sia quelli derivanti dai rapporti di commerciali internazionali. </w:t>
      </w:r>
    </w:p>
    <w:p w:rsidR="00B576FB" w:rsidRDefault="00B576FB" w:rsidP="00B576FB">
      <w:pPr>
        <w:spacing w:line="360" w:lineRule="auto"/>
        <w:ind w:left="360" w:right="92"/>
        <w:jc w:val="both"/>
        <w:rPr>
          <w:rFonts w:ascii="Arial" w:hAnsi="Arial" w:cs="Arial"/>
          <w:sz w:val="20"/>
          <w:szCs w:val="20"/>
        </w:rPr>
      </w:pPr>
      <w:r>
        <w:rPr>
          <w:rFonts w:ascii="Arial" w:hAnsi="Arial" w:cs="Arial"/>
          <w:sz w:val="20"/>
          <w:szCs w:val="20"/>
        </w:rPr>
        <w:t>La copertura assicurativa può riguardare il "rischio commerciale" (insolvenza di fatto o di diritto del debitore) oppure il "rischio politico" (eventi catastrofici-politici che impediscono il pagamento del credito).</w:t>
      </w:r>
    </w:p>
    <w:p w:rsidR="00B576FB" w:rsidRDefault="00B576FB" w:rsidP="00B576FB">
      <w:pPr>
        <w:spacing w:line="360" w:lineRule="auto"/>
        <w:ind w:left="360" w:right="92"/>
        <w:jc w:val="both"/>
        <w:rPr>
          <w:rFonts w:ascii="Arial" w:hAnsi="Arial" w:cs="Arial"/>
          <w:sz w:val="20"/>
          <w:szCs w:val="20"/>
        </w:rPr>
      </w:pPr>
      <w:r>
        <w:rPr>
          <w:rFonts w:ascii="Arial" w:hAnsi="Arial" w:cs="Arial"/>
          <w:sz w:val="20"/>
          <w:szCs w:val="20"/>
        </w:rPr>
        <w:t>Come avremo modo di analizzare nel prosieguo del presente capitolo il mercato dell’ assicurazione del credito, che dal punto di vista dell’offerta prevede una serie di prodotti differenziati a seconda delle esigenze degli operatori commerciali,  è composto da diversi attori, sia pubblici che privati.</w:t>
      </w:r>
    </w:p>
    <w:p w:rsidR="00B576FB" w:rsidRDefault="00B576FB" w:rsidP="00B576FB">
      <w:pPr>
        <w:spacing w:line="360" w:lineRule="auto"/>
        <w:ind w:left="360" w:right="92"/>
        <w:jc w:val="both"/>
        <w:rPr>
          <w:rFonts w:ascii="Arial" w:hAnsi="Arial" w:cs="Arial"/>
          <w:sz w:val="20"/>
          <w:szCs w:val="20"/>
        </w:rPr>
      </w:pPr>
      <w:r>
        <w:rPr>
          <w:rFonts w:ascii="Arial" w:hAnsi="Arial" w:cs="Arial"/>
          <w:sz w:val="20"/>
          <w:szCs w:val="20"/>
        </w:rPr>
        <w:t>Pertanto, non essendo questa la sede per poter approfondire i singoli prodotti di tutte le Compagnie presenti sul mercato, dopo aver esposto i caratteri in genere comuni a tutte le polizze ( siano esse offerte da compagni pubbliche piuttosto che dall’operatore pubblico) ci si concentrerà sul supporto pubblico, lasciando al lettore il compito di verificare i singoli prodotti offerti dagli attori privati.</w:t>
      </w:r>
    </w:p>
    <w:p w:rsidR="00B576FB" w:rsidRDefault="00B576FB" w:rsidP="00B576FB">
      <w:pPr>
        <w:spacing w:line="360" w:lineRule="auto"/>
        <w:ind w:left="360" w:right="92"/>
        <w:jc w:val="both"/>
        <w:rPr>
          <w:rFonts w:ascii="Arial" w:hAnsi="Arial" w:cs="Arial"/>
          <w:sz w:val="20"/>
          <w:szCs w:val="20"/>
        </w:rPr>
      </w:pPr>
      <w:r>
        <w:rPr>
          <w:rFonts w:ascii="Arial" w:hAnsi="Arial" w:cs="Arial"/>
          <w:sz w:val="20"/>
          <w:szCs w:val="20"/>
        </w:rPr>
        <w:t>Nonostante l’assicurazione dei crediti venga percepita non sempre in maniera positiva dalle imprese in quanto spesso le clausole dei contratti di assicurazione prevedono la possibilità per la compagnia di modificare in itinere le condizioni ( fino all’estremo di non solo ridurre ma addirittura bloccare il plafond), preme far rilevare che qualora l’impresa per il proprio business abbia bisogno di richiedere finanziamenti alla propria banca, senz’altro la valutazione del rischio effettuata dalla banca sarà migliore se tutto o parte dei crediti sono coperti da polizza assicurativa. Infatti il timore legittimo della banca è che una serie di insoluti a catena possono provocare una irreparabile crisi  che può portare l’impresa all’insolvenza. Orbene si comprenderà che invece, qualora i crediti siano assicurati tali rischi, seppur non eliminati risultano notevolmente ridotti. Un attento credit risk manager dell’impresa dovrebbe quindi considerare il percorso assicurativo in special modo in tutti i casi in cui gli importi dei crediti siano tanti ma di importi ridotti tali da non giustificare nei confronti dei clienti la richiesta né di crediti documentari né tantomeno di garanzie bancarie.</w:t>
      </w:r>
    </w:p>
    <w:p w:rsidR="00B576FB" w:rsidRDefault="00B576FB" w:rsidP="00B576FB">
      <w:pPr>
        <w:spacing w:line="360" w:lineRule="auto"/>
        <w:ind w:left="360" w:right="92"/>
        <w:jc w:val="both"/>
        <w:rPr>
          <w:rFonts w:ascii="Arial" w:hAnsi="Arial" w:cs="Arial"/>
          <w:color w:val="FF0000"/>
          <w:sz w:val="20"/>
          <w:szCs w:val="20"/>
        </w:rPr>
      </w:pPr>
    </w:p>
    <w:p w:rsidR="00B576FB" w:rsidRDefault="00B576FB" w:rsidP="00B576FB">
      <w:pPr>
        <w:spacing w:line="360" w:lineRule="auto"/>
        <w:ind w:left="360" w:right="92"/>
        <w:jc w:val="both"/>
        <w:rPr>
          <w:rFonts w:ascii="Arial" w:hAnsi="Arial" w:cs="Arial"/>
          <w:sz w:val="20"/>
          <w:szCs w:val="20"/>
          <w:u w:val="single"/>
        </w:rPr>
      </w:pPr>
      <w:r>
        <w:rPr>
          <w:rFonts w:ascii="Arial" w:hAnsi="Arial" w:cs="Arial"/>
          <w:sz w:val="20"/>
          <w:szCs w:val="20"/>
          <w:u w:val="single"/>
        </w:rPr>
        <w:lastRenderedPageBreak/>
        <w:t>Cenni giuridici sulla natura del contratto di assicurazione</w:t>
      </w:r>
    </w:p>
    <w:p w:rsidR="00B576FB" w:rsidRDefault="00B576FB" w:rsidP="00B576FB">
      <w:pPr>
        <w:spacing w:line="360" w:lineRule="auto"/>
        <w:ind w:left="360" w:right="92"/>
        <w:jc w:val="both"/>
        <w:rPr>
          <w:rFonts w:ascii="Arial" w:hAnsi="Arial" w:cs="Arial"/>
          <w:sz w:val="20"/>
          <w:szCs w:val="20"/>
        </w:rPr>
      </w:pPr>
      <w:r>
        <w:rPr>
          <w:rFonts w:ascii="Arial" w:hAnsi="Arial" w:cs="Arial"/>
          <w:sz w:val="20"/>
          <w:szCs w:val="20"/>
        </w:rPr>
        <w:t>Il contratto di assicurazione in generale è disciplinato dagli articoli 1882 e seguenti del Codice Civile e, secondo il diritto italiano,  presenta le seguenti caratteristiche:</w:t>
      </w:r>
    </w:p>
    <w:p w:rsidR="00B576FB" w:rsidRDefault="00B576FB" w:rsidP="00B576FB">
      <w:pPr>
        <w:numPr>
          <w:ilvl w:val="0"/>
          <w:numId w:val="11"/>
        </w:numPr>
        <w:spacing w:after="0" w:line="360" w:lineRule="auto"/>
        <w:ind w:left="360" w:right="92"/>
        <w:jc w:val="both"/>
        <w:rPr>
          <w:rFonts w:ascii="Arial" w:hAnsi="Arial" w:cs="Arial"/>
          <w:sz w:val="20"/>
          <w:szCs w:val="20"/>
        </w:rPr>
      </w:pPr>
      <w:r>
        <w:rPr>
          <w:rFonts w:ascii="Arial" w:hAnsi="Arial" w:cs="Arial"/>
          <w:sz w:val="20"/>
          <w:szCs w:val="20"/>
        </w:rPr>
        <w:t>è un contratto nominato, perché espressamente disciplinato dal legislatore;</w:t>
      </w:r>
    </w:p>
    <w:p w:rsidR="00B576FB" w:rsidRDefault="00B576FB" w:rsidP="00B576FB">
      <w:pPr>
        <w:numPr>
          <w:ilvl w:val="0"/>
          <w:numId w:val="11"/>
        </w:numPr>
        <w:spacing w:after="0" w:line="360" w:lineRule="auto"/>
        <w:ind w:left="360" w:right="92"/>
        <w:jc w:val="both"/>
        <w:rPr>
          <w:rFonts w:ascii="Arial" w:hAnsi="Arial" w:cs="Arial"/>
          <w:sz w:val="20"/>
          <w:szCs w:val="20"/>
        </w:rPr>
      </w:pPr>
      <w:r>
        <w:rPr>
          <w:rFonts w:ascii="Arial" w:hAnsi="Arial" w:cs="Arial"/>
          <w:sz w:val="20"/>
          <w:szCs w:val="20"/>
        </w:rPr>
        <w:t>oneroso, perché ciascuno dei contraenti intende procurarsi un vantaggio;</w:t>
      </w:r>
    </w:p>
    <w:p w:rsidR="00B576FB" w:rsidRDefault="00B576FB" w:rsidP="00B576FB">
      <w:pPr>
        <w:numPr>
          <w:ilvl w:val="0"/>
          <w:numId w:val="11"/>
        </w:numPr>
        <w:spacing w:after="0" w:line="360" w:lineRule="auto"/>
        <w:ind w:left="709" w:right="92" w:hanging="709"/>
        <w:jc w:val="both"/>
        <w:rPr>
          <w:rFonts w:ascii="Arial" w:hAnsi="Arial" w:cs="Arial"/>
          <w:sz w:val="20"/>
          <w:szCs w:val="20"/>
        </w:rPr>
      </w:pPr>
      <w:r>
        <w:rPr>
          <w:rFonts w:ascii="Arial" w:hAnsi="Arial" w:cs="Arial"/>
          <w:sz w:val="20"/>
          <w:szCs w:val="20"/>
        </w:rPr>
        <w:t>aleatorio, perché, al momento della conclusione, ciascun contraente non è in grado di sapere se conseguirà o meno il vantaggio;</w:t>
      </w:r>
    </w:p>
    <w:p w:rsidR="00B576FB" w:rsidRDefault="00B576FB" w:rsidP="00B576FB">
      <w:pPr>
        <w:numPr>
          <w:ilvl w:val="0"/>
          <w:numId w:val="11"/>
        </w:numPr>
        <w:spacing w:after="0" w:line="360" w:lineRule="auto"/>
        <w:ind w:left="360" w:right="92"/>
        <w:jc w:val="both"/>
        <w:rPr>
          <w:rFonts w:ascii="Arial" w:hAnsi="Arial" w:cs="Arial"/>
          <w:sz w:val="20"/>
          <w:szCs w:val="20"/>
        </w:rPr>
      </w:pPr>
      <w:r>
        <w:rPr>
          <w:rFonts w:ascii="Arial" w:hAnsi="Arial" w:cs="Arial"/>
          <w:sz w:val="20"/>
          <w:szCs w:val="20"/>
        </w:rPr>
        <w:t>obbligatorio;</w:t>
      </w:r>
    </w:p>
    <w:p w:rsidR="00B576FB" w:rsidRDefault="00B576FB" w:rsidP="00B576FB">
      <w:pPr>
        <w:numPr>
          <w:ilvl w:val="0"/>
          <w:numId w:val="11"/>
        </w:numPr>
        <w:spacing w:after="0" w:line="360" w:lineRule="auto"/>
        <w:ind w:left="360" w:right="92"/>
        <w:jc w:val="both"/>
        <w:rPr>
          <w:rFonts w:ascii="Arial" w:hAnsi="Arial" w:cs="Arial"/>
          <w:sz w:val="20"/>
          <w:szCs w:val="20"/>
        </w:rPr>
      </w:pPr>
      <w:r>
        <w:rPr>
          <w:rFonts w:ascii="Arial" w:hAnsi="Arial" w:cs="Arial"/>
          <w:sz w:val="20"/>
          <w:szCs w:val="20"/>
        </w:rPr>
        <w:t>di durata;</w:t>
      </w:r>
    </w:p>
    <w:p w:rsidR="00B576FB" w:rsidRDefault="00B576FB" w:rsidP="00B576FB">
      <w:pPr>
        <w:numPr>
          <w:ilvl w:val="0"/>
          <w:numId w:val="11"/>
        </w:numPr>
        <w:spacing w:after="0" w:line="360" w:lineRule="auto"/>
        <w:ind w:left="709" w:right="92" w:hanging="709"/>
        <w:jc w:val="both"/>
        <w:rPr>
          <w:rFonts w:ascii="Arial" w:hAnsi="Arial" w:cs="Arial"/>
          <w:sz w:val="20"/>
          <w:szCs w:val="20"/>
        </w:rPr>
      </w:pPr>
      <w:r>
        <w:rPr>
          <w:rFonts w:ascii="Arial" w:hAnsi="Arial" w:cs="Arial"/>
          <w:sz w:val="20"/>
          <w:szCs w:val="20"/>
        </w:rPr>
        <w:t>rientrante, salvo rari casi, nella categoria dei contratti per adesione, ove le condizioni generali di contratto sono unilateralmente predisposte dall’assicuratore;</w:t>
      </w:r>
    </w:p>
    <w:p w:rsidR="00B576FB" w:rsidRDefault="00B576FB" w:rsidP="00B576FB">
      <w:pPr>
        <w:spacing w:line="360" w:lineRule="auto"/>
        <w:ind w:left="360" w:right="92"/>
        <w:jc w:val="both"/>
        <w:rPr>
          <w:rFonts w:ascii="Arial" w:hAnsi="Arial" w:cs="Arial"/>
          <w:sz w:val="20"/>
          <w:szCs w:val="20"/>
        </w:rPr>
      </w:pPr>
    </w:p>
    <w:p w:rsidR="00B576FB" w:rsidRDefault="00B576FB" w:rsidP="00B576FB">
      <w:pPr>
        <w:spacing w:line="360" w:lineRule="auto"/>
        <w:ind w:left="360" w:right="92"/>
        <w:jc w:val="both"/>
        <w:rPr>
          <w:rFonts w:ascii="Arial" w:hAnsi="Arial" w:cs="Arial"/>
          <w:b/>
          <w:sz w:val="20"/>
          <w:szCs w:val="20"/>
        </w:rPr>
      </w:pPr>
      <w:r>
        <w:rPr>
          <w:rFonts w:ascii="Arial" w:hAnsi="Arial" w:cs="Arial"/>
          <w:b/>
          <w:sz w:val="20"/>
          <w:szCs w:val="20"/>
        </w:rPr>
        <w:t>2. L’assicurazione dei crediti all’esportazione</w:t>
      </w:r>
    </w:p>
    <w:p w:rsidR="00B576FB" w:rsidRDefault="00B576FB" w:rsidP="00B576FB">
      <w:pPr>
        <w:spacing w:before="100" w:beforeAutospacing="1" w:after="100" w:afterAutospacing="1" w:line="360" w:lineRule="auto"/>
        <w:ind w:left="360" w:right="92"/>
        <w:jc w:val="both"/>
        <w:rPr>
          <w:rFonts w:ascii="Arial" w:hAnsi="Arial" w:cs="Arial"/>
          <w:sz w:val="20"/>
          <w:szCs w:val="20"/>
        </w:rPr>
      </w:pPr>
      <w:r>
        <w:rPr>
          <w:rFonts w:ascii="Arial" w:hAnsi="Arial" w:cs="Arial"/>
          <w:sz w:val="20"/>
          <w:szCs w:val="20"/>
        </w:rPr>
        <w:t xml:space="preserve">L'assicurazione dei crediti commerciali è un servizio svolto da alcune compagnie assicurative specializzate e si basa sulla valutazione preventiva svolta dall’assicuratore sui clienti dell’assicurato. Riguarda la copertura del </w:t>
      </w:r>
      <w:hyperlink r:id="rId7" w:tooltip="Rischio" w:history="1">
        <w:r>
          <w:rPr>
            <w:rStyle w:val="Collegamentoipertestuale"/>
            <w:rFonts w:ascii="Arial" w:hAnsi="Arial" w:cs="Arial"/>
            <w:color w:val="auto"/>
            <w:sz w:val="20"/>
            <w:szCs w:val="20"/>
            <w:u w:val="none"/>
          </w:rPr>
          <w:t>rischio</w:t>
        </w:r>
      </w:hyperlink>
      <w:r>
        <w:rPr>
          <w:rFonts w:ascii="Arial" w:hAnsi="Arial" w:cs="Arial"/>
          <w:sz w:val="20"/>
          <w:szCs w:val="20"/>
        </w:rPr>
        <w:t xml:space="preserve"> di insoluto derivante da insolvenza e/o  mancato pagamento di crediti commerciali a breve termine (a titolo di esempio si ricordano Coface, Atradius, Euler Hermes Siac, per quanto riguarda l’Italia, anche Sace e  Sace BT) . Il contratto  di assicurazione del credito, basato sul fido concesso dalla compagnia su ciascun debitore dell’assicurato,  non prevede mai una copertura totale in caso di insoluto ma prevede uno scoperto che garantisce, in caso di insoluto, un indennizzo che varia in genere dall’80 al 90%. In genere il servizio offerto prevede una serie di servizi tra i quali i principali sono costituiti dalla prevenzione dell'insolvenza degli acquirenti, dalla gestione delle azioni per il recupero dei crediti e dall'erogazione del risarcimento.</w:t>
      </w:r>
    </w:p>
    <w:p w:rsidR="00B576FB" w:rsidRDefault="00B576FB" w:rsidP="00B576FB">
      <w:pPr>
        <w:spacing w:before="100" w:after="100" w:line="360" w:lineRule="auto"/>
        <w:ind w:left="360" w:right="92"/>
        <w:jc w:val="both"/>
        <w:rPr>
          <w:rFonts w:ascii="Arial" w:hAnsi="Arial" w:cs="Arial"/>
          <w:sz w:val="20"/>
          <w:szCs w:val="20"/>
        </w:rPr>
      </w:pPr>
      <w:r>
        <w:rPr>
          <w:rFonts w:ascii="Arial" w:hAnsi="Arial" w:cs="Arial"/>
          <w:sz w:val="20"/>
          <w:szCs w:val="20"/>
        </w:rPr>
        <w:t xml:space="preserve">Pur considerando che ciascuna compagnia assicurativa può prevedere nelle proprie polizze servizi ad hoc, si riportano di seguito le peculiarità comuni alle polizze assicurative più in uso: </w:t>
      </w:r>
    </w:p>
    <w:p w:rsidR="00B576FB" w:rsidRDefault="00B576FB" w:rsidP="00B576FB">
      <w:pPr>
        <w:numPr>
          <w:ilvl w:val="0"/>
          <w:numId w:val="12"/>
        </w:numPr>
        <w:spacing w:before="100" w:beforeAutospacing="1" w:after="100" w:afterAutospacing="1" w:line="360" w:lineRule="auto"/>
        <w:ind w:right="92"/>
        <w:jc w:val="both"/>
        <w:rPr>
          <w:rFonts w:ascii="Arial" w:hAnsi="Arial" w:cs="Arial"/>
          <w:sz w:val="20"/>
          <w:szCs w:val="20"/>
        </w:rPr>
      </w:pPr>
      <w:r>
        <w:rPr>
          <w:rFonts w:ascii="Arial" w:hAnsi="Arial" w:cs="Arial"/>
          <w:sz w:val="20"/>
          <w:szCs w:val="20"/>
        </w:rPr>
        <w:t>il principio della globalità dei crediti assicurati, attraverso il quale l’assicuratore richiede che sia sottoposto ad assicurazione tutto il fatturato dell’impresa. Tuttavia molte polizze mitigano tale principio prevedendo la possibilità di assicurare ad esempio la globalità dei crediti realizzati in determinate aree geografiche o determinati rami di attività;</w:t>
      </w:r>
    </w:p>
    <w:p w:rsidR="00B576FB" w:rsidRDefault="00B576FB" w:rsidP="00B576FB">
      <w:pPr>
        <w:numPr>
          <w:ilvl w:val="0"/>
          <w:numId w:val="12"/>
        </w:numPr>
        <w:spacing w:before="100" w:beforeAutospacing="1" w:after="100" w:afterAutospacing="1" w:line="360" w:lineRule="auto"/>
        <w:ind w:right="92"/>
        <w:jc w:val="both"/>
        <w:rPr>
          <w:rFonts w:ascii="Arial" w:hAnsi="Arial" w:cs="Arial"/>
          <w:sz w:val="20"/>
          <w:szCs w:val="20"/>
        </w:rPr>
      </w:pPr>
      <w:r>
        <w:rPr>
          <w:rFonts w:ascii="Arial" w:hAnsi="Arial" w:cs="Arial"/>
          <w:sz w:val="20"/>
          <w:szCs w:val="20"/>
        </w:rPr>
        <w:t xml:space="preserve">analisi preventiva del portafoglio attraverso la quale si giunge alla determinazione del limite massimo assicurabile per ciascun debitore; </w:t>
      </w:r>
    </w:p>
    <w:p w:rsidR="00B576FB" w:rsidRDefault="00B576FB" w:rsidP="00B576FB">
      <w:pPr>
        <w:numPr>
          <w:ilvl w:val="0"/>
          <w:numId w:val="12"/>
        </w:numPr>
        <w:spacing w:before="100" w:beforeAutospacing="1" w:after="100" w:afterAutospacing="1" w:line="360" w:lineRule="auto"/>
        <w:ind w:right="92"/>
        <w:jc w:val="both"/>
        <w:rPr>
          <w:rFonts w:ascii="Arial" w:hAnsi="Arial" w:cs="Arial"/>
          <w:sz w:val="20"/>
          <w:szCs w:val="20"/>
        </w:rPr>
      </w:pPr>
      <w:r>
        <w:rPr>
          <w:rFonts w:ascii="Arial" w:hAnsi="Arial" w:cs="Arial"/>
          <w:sz w:val="20"/>
          <w:szCs w:val="20"/>
        </w:rPr>
        <w:t xml:space="preserve">rotatività del limite massimo assicurabile, che consente di ricomprendere, nell’ambito del plafond concesso, i crediti in ordine cronologico man mano che avvengono i pagamenti delle precedenti operazioni; </w:t>
      </w:r>
    </w:p>
    <w:p w:rsidR="00B576FB" w:rsidRDefault="00B576FB" w:rsidP="00B576FB">
      <w:pPr>
        <w:numPr>
          <w:ilvl w:val="0"/>
          <w:numId w:val="12"/>
        </w:numPr>
        <w:spacing w:before="100" w:beforeAutospacing="1" w:after="100" w:afterAutospacing="1" w:line="360" w:lineRule="auto"/>
        <w:ind w:right="92"/>
        <w:jc w:val="both"/>
        <w:rPr>
          <w:rFonts w:ascii="Arial" w:hAnsi="Arial" w:cs="Arial"/>
          <w:sz w:val="20"/>
          <w:szCs w:val="20"/>
        </w:rPr>
      </w:pPr>
      <w:r>
        <w:rPr>
          <w:rFonts w:ascii="Arial" w:hAnsi="Arial" w:cs="Arial"/>
          <w:sz w:val="20"/>
          <w:szCs w:val="20"/>
        </w:rPr>
        <w:t>eventuali franchigie o massimali di indennizzo;</w:t>
      </w:r>
    </w:p>
    <w:p w:rsidR="00B576FB" w:rsidRDefault="00B576FB" w:rsidP="00B576FB">
      <w:pPr>
        <w:numPr>
          <w:ilvl w:val="0"/>
          <w:numId w:val="12"/>
        </w:numPr>
        <w:spacing w:before="100" w:beforeAutospacing="1" w:after="100" w:afterAutospacing="1" w:line="360" w:lineRule="auto"/>
        <w:ind w:right="92"/>
        <w:jc w:val="both"/>
        <w:rPr>
          <w:rFonts w:ascii="Arial" w:hAnsi="Arial" w:cs="Arial"/>
          <w:sz w:val="20"/>
          <w:szCs w:val="20"/>
        </w:rPr>
      </w:pPr>
      <w:r>
        <w:rPr>
          <w:rFonts w:ascii="Arial" w:hAnsi="Arial" w:cs="Arial"/>
          <w:sz w:val="20"/>
          <w:szCs w:val="20"/>
        </w:rPr>
        <w:t xml:space="preserve">gestione del mancato pagamento e attività di recupero del credito. A tal proposito sia ben chiaro che non si pone in essere una cessione del credito (come avviene ad esempio di solito </w:t>
      </w:r>
      <w:r>
        <w:rPr>
          <w:rFonts w:ascii="Arial" w:hAnsi="Arial" w:cs="Arial"/>
          <w:sz w:val="20"/>
          <w:szCs w:val="20"/>
        </w:rPr>
        <w:lastRenderedPageBreak/>
        <w:t xml:space="preserve">con il factoring) bensì si configura una surrogazione (o diritto alla stessa) nel caso in cui la compagnia assicurativa abbia provveduto alla liquidazione del sinistro. Tale aspetto è disciplinato in vari modi dalle singole polizze di ciascuna compagnia, pertanto è bene verificare, prima della stipula, le esatte condizioni riguardanti le procedure di recupero. </w:t>
      </w:r>
    </w:p>
    <w:p w:rsidR="00B576FB" w:rsidRDefault="00B576FB" w:rsidP="00B576FB">
      <w:pPr>
        <w:numPr>
          <w:ilvl w:val="0"/>
          <w:numId w:val="12"/>
        </w:numPr>
        <w:spacing w:before="100" w:beforeAutospacing="1" w:after="100" w:afterAutospacing="1" w:line="360" w:lineRule="auto"/>
        <w:ind w:right="92"/>
        <w:jc w:val="both"/>
        <w:rPr>
          <w:rFonts w:ascii="Arial" w:hAnsi="Arial" w:cs="Arial"/>
          <w:sz w:val="20"/>
          <w:szCs w:val="20"/>
        </w:rPr>
      </w:pPr>
      <w:r>
        <w:rPr>
          <w:rFonts w:ascii="Arial" w:hAnsi="Arial" w:cs="Arial"/>
          <w:sz w:val="20"/>
          <w:szCs w:val="20"/>
        </w:rPr>
        <w:t>Ulteriori clausole specifiche possono poi riguardare la coperture di ordini specifici ad esecuzione differita, la copertura non solo di eventi di natura commerciale ma anche del cosiddetto rischio politico, del ritardato pagamento, l’esclusione automatica di vendite coperte da altri strumenti ( ad es. da credito documentario piuttosto che da garanzia bancaria).</w:t>
      </w:r>
    </w:p>
    <w:p w:rsidR="00B576FB" w:rsidRDefault="00B576FB" w:rsidP="00B576FB">
      <w:pPr>
        <w:ind w:left="360" w:right="92"/>
        <w:rPr>
          <w:rFonts w:ascii="Arial" w:hAnsi="Arial" w:cs="Arial"/>
          <w:sz w:val="20"/>
          <w:szCs w:val="20"/>
        </w:rPr>
      </w:pPr>
    </w:p>
    <w:p w:rsidR="00B576FB" w:rsidRDefault="00B576FB" w:rsidP="00B576FB">
      <w:pPr>
        <w:ind w:left="360" w:right="92"/>
        <w:rPr>
          <w:rFonts w:ascii="Arial" w:hAnsi="Arial" w:cs="Arial"/>
          <w:b/>
          <w:sz w:val="20"/>
          <w:szCs w:val="20"/>
        </w:rPr>
      </w:pPr>
      <w:r>
        <w:rPr>
          <w:rFonts w:ascii="Arial" w:hAnsi="Arial" w:cs="Arial"/>
          <w:b/>
          <w:sz w:val="20"/>
          <w:szCs w:val="20"/>
        </w:rPr>
        <w:t>3. Il sostegno pubblico a tutela dei crediti derivanti da esportazioni e la normativa comunitaria.</w:t>
      </w:r>
    </w:p>
    <w:p w:rsidR="00B576FB" w:rsidRDefault="00B576FB" w:rsidP="00B576FB">
      <w:pPr>
        <w:spacing w:before="100" w:after="100" w:line="360" w:lineRule="auto"/>
        <w:ind w:left="360" w:right="92"/>
        <w:jc w:val="both"/>
        <w:rPr>
          <w:rFonts w:ascii="Arial" w:hAnsi="Arial" w:cs="Arial"/>
          <w:sz w:val="20"/>
          <w:szCs w:val="20"/>
        </w:rPr>
      </w:pPr>
      <w:r>
        <w:rPr>
          <w:rFonts w:ascii="Arial" w:hAnsi="Arial" w:cs="Arial"/>
          <w:sz w:val="20"/>
          <w:szCs w:val="20"/>
        </w:rPr>
        <w:t xml:space="preserve">Al fine di evitare fenomeni distorsivi della libera concorrenza e quindi  in contrasto con i principi dell’Unione, per l’assicurazione dei crediti export di media – lunga durata L’Unione Europea ha emanato nel tempo numerosi atti aventi lo scopo di rendere standard le condizioni praticabili dai singoli Stati Membri. </w:t>
      </w:r>
    </w:p>
    <w:p w:rsidR="00B576FB" w:rsidRDefault="00B576FB" w:rsidP="00B576FB">
      <w:pPr>
        <w:spacing w:before="100" w:after="100" w:line="360" w:lineRule="auto"/>
        <w:ind w:left="360" w:right="92"/>
        <w:jc w:val="both"/>
        <w:rPr>
          <w:rFonts w:ascii="Arial" w:hAnsi="Arial" w:cs="Arial"/>
          <w:sz w:val="20"/>
          <w:szCs w:val="20"/>
        </w:rPr>
      </w:pPr>
      <w:r>
        <w:rPr>
          <w:rFonts w:ascii="Arial" w:hAnsi="Arial" w:cs="Arial"/>
          <w:sz w:val="20"/>
          <w:szCs w:val="20"/>
        </w:rPr>
        <w:t xml:space="preserve">Le precedenti direttive in materia (le direttive 70/509/CEE e 70/510/CEE)   sono state abrogate dalla direttiva 98/29/Ce del Consiglio del 7 maggio 1998, relativa all'armonizzazione delle principali disposizioni in materia di assicurazione dei crediti all'esportazione per operazioni garantite a medio e a lungo termine , a sua volta modificata ed integrata successivamente dal regolamento 806/2003 e dalla  Decisione 2006/789/CE del Consiglio, del 13 novembre 2006. </w:t>
      </w:r>
    </w:p>
    <w:p w:rsidR="00B576FB" w:rsidRDefault="00B576FB" w:rsidP="00B576FB">
      <w:pPr>
        <w:spacing w:before="100" w:after="100" w:line="360" w:lineRule="auto"/>
        <w:ind w:left="360" w:right="92"/>
        <w:jc w:val="both"/>
        <w:rPr>
          <w:rFonts w:ascii="Arial" w:hAnsi="Arial" w:cs="Arial"/>
          <w:sz w:val="20"/>
          <w:szCs w:val="20"/>
        </w:rPr>
      </w:pPr>
      <w:r>
        <w:rPr>
          <w:rFonts w:ascii="Arial" w:hAnsi="Arial" w:cs="Arial"/>
          <w:sz w:val="20"/>
          <w:szCs w:val="20"/>
        </w:rPr>
        <w:t xml:space="preserve">Secondo la succitata direttiva ogni Stato membro può disporre di un sistema pubblico di assicurazione dei crediti all'esportazione le cui caratteristiche della garanzia, i premi fatturati e le politiche di copertura potrebbero tuttavia presentare notevoli differenze in grado di generare distorsioni in materia di concorrenza fra le imprese. Al fine di evitare tale fenomeni la direttiva mira ad attenuare tali rischi armonizzando le diverse regolamentazioni degli Stati membri relative all'assicurazione del credito all'esportazione. Si applica pertanto alla copertura, per conto o con il sostegno di uno o più Stati membri, delle operazioni connesse con l'esportazione di merci e/o servizi originari di uno Stato membro che comportano una durata complessiva di rischio di almeno due anni, vale a dire il periodo di rimborso compresa la durata di fabbricazione. Gli Stati membri devono provvedere affinché gli enti che forniscono direttamente o indirettamente una copertura sotto forma di assicurazione, di garanzie o di rifinanziamento del credito all'esportazione per conto o con il sostegno dello Stato membro coprano le operazioni relative alle esportazioni secondo quanto disposto nell'allegato della direttiva. L'allegato della direttiva contiene i principi comuni che devono essere rispettati dagli assicuratori in materia di assicurazione del credito all'esportazione e che riguardano gli elementi costitutivi della garanzia assicurativa (Capitolo I), dei premi (Capitolo II), </w:t>
      </w:r>
      <w:smartTag w:uri="urn:schemas-microsoft-com:office:smarttags" w:element="PersonName">
        <w:smartTagPr>
          <w:attr w:name="ProductID" w:val="la Politica"/>
        </w:smartTagPr>
        <w:r>
          <w:rPr>
            <w:rFonts w:ascii="Arial" w:hAnsi="Arial" w:cs="Arial"/>
            <w:sz w:val="20"/>
            <w:szCs w:val="20"/>
          </w:rPr>
          <w:t>la Politica</w:t>
        </w:r>
      </w:smartTag>
      <w:r>
        <w:rPr>
          <w:rFonts w:ascii="Arial" w:hAnsi="Arial" w:cs="Arial"/>
          <w:sz w:val="20"/>
          <w:szCs w:val="20"/>
        </w:rPr>
        <w:t xml:space="preserve"> assicurativa per paese (Capitolo III), le procedure di notifica (Capitolo IV).  </w:t>
      </w:r>
    </w:p>
    <w:p w:rsidR="00B576FB" w:rsidRDefault="00B576FB" w:rsidP="00B576FB">
      <w:pPr>
        <w:spacing w:before="100" w:after="100" w:line="360" w:lineRule="auto"/>
        <w:ind w:left="360" w:right="92"/>
        <w:jc w:val="both"/>
        <w:rPr>
          <w:rFonts w:ascii="Arial" w:hAnsi="Arial" w:cs="Arial"/>
          <w:sz w:val="20"/>
          <w:szCs w:val="20"/>
        </w:rPr>
      </w:pPr>
      <w:r>
        <w:rPr>
          <w:rFonts w:ascii="Arial" w:hAnsi="Arial" w:cs="Arial"/>
          <w:sz w:val="20"/>
          <w:szCs w:val="20"/>
        </w:rPr>
        <w:t xml:space="preserve">I principi comuni relativi agli elementi costitutivi della garanzia riguardano i principi generali e le definizioni, l'estensione della garanzia, i fatti che hanno generato il sinistro e l'esclusione della garanzia nonché le disposizioni applicabili all'indennizzo del sinistro. </w:t>
      </w:r>
    </w:p>
    <w:p w:rsidR="00B576FB" w:rsidRDefault="00B576FB" w:rsidP="00B576FB">
      <w:pPr>
        <w:spacing w:before="100" w:after="100" w:line="360" w:lineRule="auto"/>
        <w:ind w:left="360" w:right="92"/>
        <w:jc w:val="both"/>
        <w:rPr>
          <w:rFonts w:ascii="Arial" w:hAnsi="Arial" w:cs="Arial"/>
          <w:sz w:val="20"/>
          <w:szCs w:val="20"/>
        </w:rPr>
      </w:pPr>
      <w:r>
        <w:rPr>
          <w:rFonts w:ascii="Arial" w:hAnsi="Arial" w:cs="Arial"/>
          <w:sz w:val="20"/>
          <w:szCs w:val="20"/>
        </w:rPr>
        <w:lastRenderedPageBreak/>
        <w:t xml:space="preserve">I principi comuni relativi ai premi applicabili alle operazioni di assicurazione del credito all'esportazione definiscono un quadro destinato a instaurare una maggiore trasparenza nella determinazione dei premi assicurativi e, in particolare, viene fissato un postulato di base secondo il quale i premi devono convergere. Da ultimo, e soprattutto, tale quadro è destinato ad applicare i principi direttori che sono stati negoziati in questo settore all'OCSE. </w:t>
      </w:r>
    </w:p>
    <w:p w:rsidR="00B576FB" w:rsidRDefault="00B576FB" w:rsidP="00B576FB">
      <w:pPr>
        <w:spacing w:before="100" w:after="100" w:line="360" w:lineRule="auto"/>
        <w:ind w:left="360" w:right="92"/>
        <w:jc w:val="both"/>
        <w:rPr>
          <w:rFonts w:ascii="Arial" w:hAnsi="Arial" w:cs="Arial"/>
          <w:sz w:val="20"/>
          <w:szCs w:val="20"/>
        </w:rPr>
      </w:pPr>
      <w:r>
        <w:rPr>
          <w:rFonts w:ascii="Arial" w:hAnsi="Arial" w:cs="Arial"/>
          <w:sz w:val="20"/>
          <w:szCs w:val="20"/>
        </w:rPr>
        <w:t xml:space="preserve">I principi comuni relativi alla politica di copertura per paese stabiliscono le modalità necessarie per lo scambio reciproco di informazioni fra gli assicuratori in materia di credito in tale ambito. Tale informazione è completata con dati relativi i risultati tecnici evidenziati annualmente dagli assicuratori. </w:t>
      </w:r>
      <w:smartTag w:uri="urn:schemas-microsoft-com:office:smarttags" w:element="PersonName">
        <w:smartTagPr>
          <w:attr w:name="ProductID" w:val="La Direttiva"/>
        </w:smartTagPr>
        <w:r>
          <w:rPr>
            <w:rFonts w:ascii="Arial" w:hAnsi="Arial" w:cs="Arial"/>
            <w:sz w:val="20"/>
            <w:szCs w:val="20"/>
          </w:rPr>
          <w:t>La Direttiva</w:t>
        </w:r>
      </w:smartTag>
      <w:r>
        <w:rPr>
          <w:rFonts w:ascii="Arial" w:hAnsi="Arial" w:cs="Arial"/>
          <w:sz w:val="20"/>
          <w:szCs w:val="20"/>
        </w:rPr>
        <w:t xml:space="preserve"> infine prevede che i summenzionati principi comuni possano essere applicati con flessibilità, consentendo la possibilità di deroghe a condizione che le modifiche apportate alla qualità della garanzia concessa siano rispecchiate nei premi fatturati e siano inoltre comunicate agli altri assicuratori in materia di credito e alla Commissione.</w:t>
      </w:r>
    </w:p>
    <w:p w:rsidR="00B576FB" w:rsidRDefault="00B576FB" w:rsidP="00B576FB">
      <w:pPr>
        <w:spacing w:before="100" w:after="100" w:line="360" w:lineRule="auto"/>
        <w:ind w:left="360" w:right="92"/>
        <w:jc w:val="both"/>
        <w:rPr>
          <w:rFonts w:ascii="Arial" w:hAnsi="Arial" w:cs="Arial"/>
          <w:sz w:val="20"/>
          <w:szCs w:val="20"/>
        </w:rPr>
      </w:pPr>
    </w:p>
    <w:p w:rsidR="00B576FB" w:rsidRDefault="00B576FB" w:rsidP="00B576FB">
      <w:pPr>
        <w:spacing w:before="100" w:after="100" w:line="360" w:lineRule="auto"/>
        <w:ind w:left="360" w:right="92"/>
        <w:jc w:val="both"/>
        <w:rPr>
          <w:rFonts w:ascii="Arial" w:hAnsi="Arial" w:cs="Arial"/>
          <w:b/>
          <w:sz w:val="20"/>
          <w:szCs w:val="20"/>
        </w:rPr>
      </w:pPr>
      <w:r>
        <w:rPr>
          <w:rFonts w:ascii="Arial" w:hAnsi="Arial" w:cs="Arial"/>
          <w:b/>
          <w:sz w:val="20"/>
          <w:szCs w:val="20"/>
        </w:rPr>
        <w:t>4. Il sostegno pubblico: gli strumenti Sace</w:t>
      </w:r>
    </w:p>
    <w:p w:rsidR="00B576FB" w:rsidRDefault="00B576FB" w:rsidP="00B576FB">
      <w:pPr>
        <w:autoSpaceDE w:val="0"/>
        <w:autoSpaceDN w:val="0"/>
        <w:adjustRightInd w:val="0"/>
        <w:spacing w:line="360" w:lineRule="auto"/>
        <w:ind w:left="360" w:right="92"/>
        <w:jc w:val="both"/>
        <w:rPr>
          <w:rFonts w:ascii="Arial" w:hAnsi="Arial" w:cs="Arial"/>
          <w:sz w:val="20"/>
          <w:szCs w:val="20"/>
        </w:rPr>
      </w:pPr>
      <w:smartTag w:uri="urn:schemas-microsoft-com:office:smarttags" w:element="PersonName">
        <w:smartTagPr>
          <w:attr w:name="ProductID" w:val="La Sace"/>
        </w:smartTagPr>
        <w:r>
          <w:rPr>
            <w:rFonts w:ascii="Arial" w:hAnsi="Arial" w:cs="Arial"/>
            <w:sz w:val="20"/>
            <w:szCs w:val="20"/>
          </w:rPr>
          <w:t>La Sace</w:t>
        </w:r>
      </w:smartTag>
      <w:r>
        <w:rPr>
          <w:rFonts w:ascii="Arial" w:hAnsi="Arial" w:cs="Arial"/>
          <w:sz w:val="20"/>
          <w:szCs w:val="20"/>
        </w:rPr>
        <w:t xml:space="preserve"> è una società interamente posseduta dal ministero dell’Economia e delle Finanze, operante nel settore dell’assicurazione del credito in genere e del credito all’esportazione, nonché nella protezione degli investimenti, nelle garanzie di tipo finanziario, nel settore delle cauzione e da ultimo nella fornitura di servizi di factoring. Opera in circa 180 Paesi assistendo le imprese italiane ( nonché società collegate e partecipate estere) al fine di migliorarne la competitività attraverso il supporto fornito attraverso i suoi molteplici prodotti di seguito descritti..</w:t>
      </w:r>
    </w:p>
    <w:p w:rsidR="00B576FB" w:rsidRDefault="00B576FB" w:rsidP="00B576FB">
      <w:pPr>
        <w:autoSpaceDE w:val="0"/>
        <w:autoSpaceDN w:val="0"/>
        <w:adjustRightInd w:val="0"/>
        <w:spacing w:line="360" w:lineRule="auto"/>
        <w:ind w:left="360" w:right="92"/>
        <w:jc w:val="both"/>
        <w:rPr>
          <w:rFonts w:ascii="Arial" w:hAnsi="Arial" w:cs="Arial"/>
          <w:sz w:val="20"/>
          <w:szCs w:val="20"/>
        </w:rPr>
      </w:pPr>
      <w:smartTag w:uri="urn:schemas-microsoft-com:office:smarttags" w:element="PersonName">
        <w:smartTagPr>
          <w:attr w:name="ProductID" w:val="La Delibera CIPE"/>
        </w:smartTagPr>
        <w:r>
          <w:rPr>
            <w:rFonts w:ascii="Arial" w:hAnsi="Arial" w:cs="Arial"/>
            <w:sz w:val="20"/>
            <w:szCs w:val="20"/>
          </w:rPr>
          <w:t>La Delibera CIPE</w:t>
        </w:r>
      </w:smartTag>
      <w:r>
        <w:rPr>
          <w:rFonts w:ascii="Arial" w:hAnsi="Arial" w:cs="Arial"/>
          <w:sz w:val="20"/>
          <w:szCs w:val="20"/>
        </w:rPr>
        <w:t xml:space="preserve"> n. 62 del 2007 stabilisce che SACE, nel rispetto degli accordi internazionali e della normativa comunitaria e nazionale può svolgere servizi di assicurazione, riassicurazione, coassicurazione e garanzia a copertura dei rischi cui sono esposte, direttamente o indirettamente, le imprese italiane (nonché le società, anche estere, a queste collegate o da queste controllate) nella loro attività con l’estero e di internazionalizzazione. La summenzionata Delibera stabilisce inoltre la possibilità di fornire servizi di assicurazione, riassicurazione, coassicurazione e garanzia a copertura dei rischi relativi o collegati ad operazioni ritenute strategiche per l’internazionalizzazione delle imprese, per garantire la sicurezza economica e l’attivazione dei processi produttivi e occupazionali. </w:t>
      </w: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 xml:space="preserve">L’operatività di Sace, un tempo limitata ai servizi di assicurazione dei crediti export, protezione degli investimenti e garanzie relative ad operazioni di medio-lungo termine (era previsto un termine minimo di dilazioni di 24 mesi) è stata notevolmente ampliata negli ultimi anni, sia attraverso nuovi strumenti direttamente gestiti da Sace (ad es. erogazione di finanziamenti da parte di banche convenzionate e garantiti da Sace, non necessariamente collegati ad operazioni di esportazione), sia attraverso la creazione di nuove società del gruppo, dedicate ad appositi settori/servizi. È il caso di Sace BT, società operante nell’assicurazione dei crediti a breve termine, nell’erogazione  cauzioni e coperture ruschi nel settore delle costruzioni, oppure di Sace Fct, società del gruppo operante nell’erogazione di servizi di factoring. </w:t>
      </w:r>
    </w:p>
    <w:p w:rsidR="00B576FB" w:rsidRDefault="00B576FB" w:rsidP="00B576FB">
      <w:pPr>
        <w:autoSpaceDE w:val="0"/>
        <w:autoSpaceDN w:val="0"/>
        <w:adjustRightInd w:val="0"/>
        <w:spacing w:line="360" w:lineRule="auto"/>
        <w:ind w:left="360" w:right="92"/>
        <w:jc w:val="both"/>
        <w:rPr>
          <w:rFonts w:ascii="Arial" w:hAnsi="Arial" w:cs="Arial"/>
          <w:sz w:val="20"/>
          <w:szCs w:val="20"/>
        </w:rPr>
      </w:pP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lastRenderedPageBreak/>
        <w:t>Volendo riassumere per categorie i prodotti Sace possono essere così suddivisi:</w:t>
      </w:r>
    </w:p>
    <w:p w:rsidR="00B576FB" w:rsidRDefault="00B576FB" w:rsidP="00B576FB">
      <w:pPr>
        <w:numPr>
          <w:ilvl w:val="0"/>
          <w:numId w:val="12"/>
        </w:numPr>
        <w:autoSpaceDE w:val="0"/>
        <w:autoSpaceDN w:val="0"/>
        <w:adjustRightInd w:val="0"/>
        <w:spacing w:after="0" w:line="360" w:lineRule="auto"/>
        <w:ind w:right="92"/>
        <w:jc w:val="both"/>
        <w:rPr>
          <w:rFonts w:ascii="Arial" w:hAnsi="Arial" w:cs="Arial"/>
          <w:sz w:val="20"/>
          <w:szCs w:val="20"/>
        </w:rPr>
      </w:pPr>
      <w:r>
        <w:rPr>
          <w:rFonts w:ascii="Arial" w:hAnsi="Arial" w:cs="Arial"/>
          <w:sz w:val="20"/>
          <w:szCs w:val="20"/>
        </w:rPr>
        <w:t>Prodotti assicurativi contro i rischi di mancato pagamento ( in Italia e all’estero)</w:t>
      </w:r>
    </w:p>
    <w:p w:rsidR="00B576FB" w:rsidRDefault="00B576FB" w:rsidP="00B576FB">
      <w:pPr>
        <w:numPr>
          <w:ilvl w:val="0"/>
          <w:numId w:val="12"/>
        </w:numPr>
        <w:autoSpaceDE w:val="0"/>
        <w:autoSpaceDN w:val="0"/>
        <w:adjustRightInd w:val="0"/>
        <w:spacing w:after="0" w:line="360" w:lineRule="auto"/>
        <w:ind w:right="92"/>
        <w:jc w:val="both"/>
        <w:rPr>
          <w:rFonts w:ascii="Arial" w:hAnsi="Arial" w:cs="Arial"/>
          <w:sz w:val="20"/>
          <w:szCs w:val="20"/>
        </w:rPr>
      </w:pPr>
      <w:r>
        <w:rPr>
          <w:rFonts w:ascii="Arial" w:hAnsi="Arial" w:cs="Arial"/>
          <w:sz w:val="20"/>
          <w:szCs w:val="20"/>
        </w:rPr>
        <w:t xml:space="preserve"> Prodotti Bancari</w:t>
      </w:r>
    </w:p>
    <w:p w:rsidR="00B576FB" w:rsidRDefault="00B576FB" w:rsidP="00B576FB">
      <w:pPr>
        <w:numPr>
          <w:ilvl w:val="0"/>
          <w:numId w:val="12"/>
        </w:numPr>
        <w:autoSpaceDE w:val="0"/>
        <w:autoSpaceDN w:val="0"/>
        <w:adjustRightInd w:val="0"/>
        <w:spacing w:after="0" w:line="360" w:lineRule="auto"/>
        <w:ind w:right="92"/>
        <w:jc w:val="both"/>
        <w:rPr>
          <w:rFonts w:ascii="Arial" w:hAnsi="Arial" w:cs="Arial"/>
          <w:sz w:val="20"/>
          <w:szCs w:val="20"/>
        </w:rPr>
      </w:pPr>
      <w:r>
        <w:rPr>
          <w:rFonts w:ascii="Arial" w:hAnsi="Arial" w:cs="Arial"/>
          <w:sz w:val="20"/>
          <w:szCs w:val="20"/>
        </w:rPr>
        <w:t>Prodotti per migliorare le condizioni di accesso al credito bancario</w:t>
      </w:r>
    </w:p>
    <w:p w:rsidR="00B576FB" w:rsidRDefault="00B576FB" w:rsidP="00B576FB">
      <w:pPr>
        <w:numPr>
          <w:ilvl w:val="0"/>
          <w:numId w:val="12"/>
        </w:numPr>
        <w:autoSpaceDE w:val="0"/>
        <w:autoSpaceDN w:val="0"/>
        <w:adjustRightInd w:val="0"/>
        <w:spacing w:after="0" w:line="360" w:lineRule="auto"/>
        <w:ind w:right="92"/>
        <w:jc w:val="both"/>
        <w:rPr>
          <w:rFonts w:ascii="Arial" w:hAnsi="Arial" w:cs="Arial"/>
          <w:sz w:val="20"/>
          <w:szCs w:val="20"/>
        </w:rPr>
      </w:pPr>
      <w:r>
        <w:rPr>
          <w:rFonts w:ascii="Arial" w:hAnsi="Arial" w:cs="Arial"/>
          <w:sz w:val="20"/>
          <w:szCs w:val="20"/>
        </w:rPr>
        <w:t>Garanzie finanziarie e cauzioni</w:t>
      </w:r>
    </w:p>
    <w:p w:rsidR="00B576FB" w:rsidRDefault="00B576FB" w:rsidP="00B576FB">
      <w:pPr>
        <w:numPr>
          <w:ilvl w:val="0"/>
          <w:numId w:val="12"/>
        </w:numPr>
        <w:autoSpaceDE w:val="0"/>
        <w:autoSpaceDN w:val="0"/>
        <w:adjustRightInd w:val="0"/>
        <w:spacing w:after="0" w:line="360" w:lineRule="auto"/>
        <w:ind w:right="92"/>
        <w:jc w:val="both"/>
        <w:rPr>
          <w:rFonts w:ascii="Arial" w:hAnsi="Arial" w:cs="Arial"/>
          <w:sz w:val="20"/>
          <w:szCs w:val="20"/>
        </w:rPr>
      </w:pPr>
      <w:r>
        <w:rPr>
          <w:rFonts w:ascii="Arial" w:hAnsi="Arial" w:cs="Arial"/>
          <w:sz w:val="20"/>
          <w:szCs w:val="20"/>
        </w:rPr>
        <w:t>Prodotti per la protezione degli investimenti esteri</w:t>
      </w:r>
    </w:p>
    <w:p w:rsidR="00B576FB" w:rsidRDefault="00B576FB" w:rsidP="00B576FB">
      <w:pPr>
        <w:numPr>
          <w:ilvl w:val="0"/>
          <w:numId w:val="12"/>
        </w:numPr>
        <w:autoSpaceDE w:val="0"/>
        <w:autoSpaceDN w:val="0"/>
        <w:adjustRightInd w:val="0"/>
        <w:spacing w:after="0" w:line="360" w:lineRule="auto"/>
        <w:ind w:right="92"/>
        <w:jc w:val="both"/>
        <w:rPr>
          <w:rFonts w:ascii="Arial" w:hAnsi="Arial" w:cs="Arial"/>
          <w:sz w:val="20"/>
          <w:szCs w:val="20"/>
        </w:rPr>
      </w:pPr>
      <w:r>
        <w:rPr>
          <w:rFonts w:ascii="Arial" w:hAnsi="Arial" w:cs="Arial"/>
          <w:sz w:val="20"/>
          <w:szCs w:val="20"/>
        </w:rPr>
        <w:t>Prodotti per migliorare la liquidità aziendale</w:t>
      </w:r>
    </w:p>
    <w:p w:rsidR="00B576FB" w:rsidRDefault="00B576FB" w:rsidP="00B576FB">
      <w:pPr>
        <w:autoSpaceDE w:val="0"/>
        <w:autoSpaceDN w:val="0"/>
        <w:adjustRightInd w:val="0"/>
        <w:spacing w:line="360" w:lineRule="auto"/>
        <w:ind w:left="360" w:right="92"/>
        <w:jc w:val="both"/>
        <w:rPr>
          <w:rFonts w:ascii="Arial" w:hAnsi="Arial" w:cs="Arial"/>
          <w:sz w:val="20"/>
          <w:szCs w:val="20"/>
        </w:rPr>
      </w:pP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Nei successivi paragrafi verranno descritte le caratteristiche principali dei singoli prodotti del portafoglio Sace.</w:t>
      </w:r>
    </w:p>
    <w:p w:rsidR="00B576FB" w:rsidRDefault="00B576FB" w:rsidP="00B576FB">
      <w:pPr>
        <w:autoSpaceDE w:val="0"/>
        <w:autoSpaceDN w:val="0"/>
        <w:adjustRightInd w:val="0"/>
        <w:spacing w:line="360" w:lineRule="auto"/>
        <w:ind w:left="360" w:right="92"/>
        <w:jc w:val="both"/>
        <w:rPr>
          <w:rFonts w:ascii="Arial" w:hAnsi="Arial" w:cs="Arial"/>
          <w:sz w:val="20"/>
          <w:szCs w:val="20"/>
        </w:rPr>
      </w:pPr>
    </w:p>
    <w:p w:rsidR="00B576FB" w:rsidRDefault="00B576FB" w:rsidP="00B576FB">
      <w:pPr>
        <w:autoSpaceDE w:val="0"/>
        <w:autoSpaceDN w:val="0"/>
        <w:adjustRightInd w:val="0"/>
        <w:spacing w:line="360" w:lineRule="auto"/>
        <w:ind w:left="360" w:right="92"/>
        <w:jc w:val="both"/>
        <w:rPr>
          <w:rFonts w:ascii="Arial" w:hAnsi="Arial" w:cs="Arial"/>
          <w:b/>
          <w:sz w:val="20"/>
          <w:szCs w:val="20"/>
        </w:rPr>
      </w:pPr>
      <w:r>
        <w:rPr>
          <w:rFonts w:ascii="Arial" w:hAnsi="Arial" w:cs="Arial"/>
          <w:b/>
          <w:sz w:val="20"/>
          <w:szCs w:val="20"/>
        </w:rPr>
        <w:t>5. Sace: Prodotti Assicurativi e finanziari a tutela dei rischi di mancato pagamento</w:t>
      </w:r>
    </w:p>
    <w:p w:rsidR="00B576FB" w:rsidRDefault="00B576FB" w:rsidP="00B576FB">
      <w:pPr>
        <w:autoSpaceDE w:val="0"/>
        <w:autoSpaceDN w:val="0"/>
        <w:adjustRightInd w:val="0"/>
        <w:ind w:left="360" w:right="92"/>
        <w:rPr>
          <w:rFonts w:ascii="Arial" w:hAnsi="Arial" w:cs="Arial"/>
          <w:i/>
          <w:sz w:val="20"/>
          <w:szCs w:val="20"/>
        </w:rPr>
      </w:pPr>
      <w:r>
        <w:rPr>
          <w:rFonts w:ascii="Arial" w:hAnsi="Arial" w:cs="Arial"/>
          <w:i/>
          <w:sz w:val="20"/>
          <w:szCs w:val="20"/>
        </w:rPr>
        <w:t>5.1 Polizza Credito Fornitore</w:t>
      </w: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 xml:space="preserve">La polizza credito fornitore è uno strumento creato per garantire singole esportazioni contro il rischio di mancato pagamento derivante da eventi generatori di sinistri di natura sia politica che commerciale e non prevede limiti di importo. Nel caso in cui l’operazione sottostante sia destinata ad un Paese UE o ad alcuni Paese OCSE (Australia, Canada, Giappone, Islanda, Norvegia, Nuova Zelanda, Stati Uniti, Svizzera) la dilazione minima deve avere una durata di almeno 24 mesi, mentre per gli altri Paesi  non sono previste soglie minime. Se la dilazione è concessa attraverso titoli di credito cambiari è prevista la possibilità, come vedremo in seguito, di smobilizzare pro soluto il credito attraverso un’operazione di sconto. In tal caso è possibile la voltura della polizza alla banca o comunque all’istituto che pone in essere l’operazione di sconto. </w:t>
      </w: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Destinatari della polizza sono le Imprese italiane (o loro collegate/controllate estere) esportatrici di merci/servizi o che realizzano studi e progettazioni all’estero. La polizza copre dal rischio di mancato pagamento per eventi di natura politica e commerciale, dal rischio di mancato recupero dei costi sostenuti in caso di revoca della commessa, dalla indebita escussione di garanzie nonché dal rischio di distruzione, danneggiamento, requisizione e confisca di beni esportati in via temporanea.</w:t>
      </w: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 xml:space="preserve">Per quanto riguarda la durata  è possibile coprire dilazioni fino ad 8 anni, estensibile a </w:t>
      </w:r>
      <w:smartTag w:uri="urn:schemas-microsoft-com:office:smarttags" w:element="metricconverter">
        <w:smartTagPr>
          <w:attr w:name="ProductID" w:val="10 a"/>
        </w:smartTagPr>
        <w:r>
          <w:rPr>
            <w:rFonts w:ascii="Arial" w:hAnsi="Arial" w:cs="Arial"/>
            <w:sz w:val="20"/>
            <w:szCs w:val="20"/>
          </w:rPr>
          <w:t>10 a</w:t>
        </w:r>
      </w:smartTag>
      <w:r>
        <w:rPr>
          <w:rFonts w:ascii="Arial" w:hAnsi="Arial" w:cs="Arial"/>
          <w:sz w:val="20"/>
          <w:szCs w:val="20"/>
        </w:rPr>
        <w:t xml:space="preserve"> seconda del Paese di destinazione dell’esportazione. Per quanto riguarda </w:t>
      </w:r>
      <w:smartTag w:uri="urn:schemas-microsoft-com:office:smarttags" w:element="PersonName">
        <w:smartTagPr>
          <w:attr w:name="ProductID" w:val="la Voltura"/>
        </w:smartTagPr>
        <w:r>
          <w:rPr>
            <w:rFonts w:ascii="Arial" w:hAnsi="Arial" w:cs="Arial"/>
            <w:sz w:val="20"/>
            <w:szCs w:val="20"/>
          </w:rPr>
          <w:t>la Voltura</w:t>
        </w:r>
      </w:smartTag>
      <w:r>
        <w:rPr>
          <w:rFonts w:ascii="Arial" w:hAnsi="Arial" w:cs="Arial"/>
          <w:sz w:val="20"/>
          <w:szCs w:val="20"/>
        </w:rPr>
        <w:t xml:space="preserve"> della Polizza Sace in caso di cessione come sopra menzionata è necessario tuttavia che l’operazione possegga determinati requisiti.</w:t>
      </w: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L’operazione deve svolgersi nel rispetto delle regole “Consensus” (norme internazionali che regolano il supporto ai crediti all’esportazione), applicabili a dilazioni pari o superiori a 24 mesi. Tali regole prevedono il pagamento in anticipo di almeno il 15% dell’importo e di una dilazione al massimo dell’85% della fornitura. La dilazione deve essere attuate mediante l’utilizzo di effetti cambiari a cadenza semestrale ed il contratto di fornitura deve prevedere una clausola arbitrale di risoluzione delle Controversie e deve riguardare Paesi che abbiano aderito alla Convenzione di New York del 1958.</w:t>
      </w: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lastRenderedPageBreak/>
        <w:t>All’atto della voltura della polizza l’esportatore è tenuto a dichiarare per iscritto la non esistenza di controversie derivanti o connesse al contratto; per inadempimenti commessi dall’esportatore precedentemente alla voltura questi ne rimane responsabile ed il diritto all’indennizzo per l’operatore che ha effettuato l’operazione di sconto non subisce alcun pregiudizio.</w:t>
      </w:r>
    </w:p>
    <w:p w:rsidR="00B576FB" w:rsidRDefault="00B576FB" w:rsidP="00B576FB">
      <w:pPr>
        <w:autoSpaceDE w:val="0"/>
        <w:autoSpaceDN w:val="0"/>
        <w:adjustRightInd w:val="0"/>
        <w:spacing w:line="360" w:lineRule="auto"/>
        <w:ind w:left="360" w:right="92"/>
        <w:jc w:val="both"/>
        <w:rPr>
          <w:rFonts w:ascii="Arial" w:hAnsi="Arial" w:cs="Arial"/>
          <w:bCs/>
          <w:i/>
          <w:color w:val="FF0000"/>
          <w:sz w:val="20"/>
          <w:szCs w:val="20"/>
        </w:rPr>
      </w:pPr>
    </w:p>
    <w:p w:rsidR="00B576FB" w:rsidRDefault="00B576FB" w:rsidP="00B576FB">
      <w:pPr>
        <w:autoSpaceDE w:val="0"/>
        <w:autoSpaceDN w:val="0"/>
        <w:adjustRightInd w:val="0"/>
        <w:spacing w:line="360" w:lineRule="auto"/>
        <w:ind w:left="360" w:right="92"/>
        <w:jc w:val="both"/>
        <w:rPr>
          <w:rFonts w:ascii="Arial" w:hAnsi="Arial" w:cs="Arial"/>
          <w:bCs/>
          <w:i/>
          <w:sz w:val="20"/>
          <w:szCs w:val="20"/>
        </w:rPr>
      </w:pPr>
      <w:r>
        <w:rPr>
          <w:rFonts w:ascii="Arial" w:hAnsi="Arial" w:cs="Arial"/>
          <w:bCs/>
          <w:i/>
          <w:sz w:val="20"/>
          <w:szCs w:val="20"/>
        </w:rPr>
        <w:t>L’operazione con voltura di polizza Sace in dettaglio</w:t>
      </w:r>
    </w:p>
    <w:p w:rsidR="00B576FB" w:rsidRDefault="00B576FB" w:rsidP="00B576FB">
      <w:pPr>
        <w:autoSpaceDE w:val="0"/>
        <w:autoSpaceDN w:val="0"/>
        <w:adjustRightInd w:val="0"/>
        <w:spacing w:line="360" w:lineRule="auto"/>
        <w:ind w:left="360" w:right="92"/>
        <w:jc w:val="both"/>
        <w:rPr>
          <w:rFonts w:ascii="Arial" w:hAnsi="Arial" w:cs="Arial"/>
          <w:bCs/>
          <w:sz w:val="20"/>
          <w:szCs w:val="20"/>
        </w:rPr>
      </w:pPr>
      <w:r>
        <w:rPr>
          <w:rFonts w:ascii="Arial" w:hAnsi="Arial" w:cs="Arial"/>
          <w:bCs/>
          <w:sz w:val="20"/>
          <w:szCs w:val="20"/>
        </w:rPr>
        <w:t xml:space="preserve">La voltura della Polizza Credito Fornitore consiste nella cessione del contratto di assicurazione a favore del soggetto che effettua lo sconto pro soluto di titoli derivanti da un’operazione di esportazione (abitualmente rientranti nelle operazioni di credito fornitore) e permette alle Banche Cessionarie di non effettuare accantonamenti di mezzi propri per la percentuale di rischio coperta con la polizza SACE;  contemporaneamente consente all’esportatore di monetizzare prontamente i propri crediti. Si rammenta che al fine di poter utilizzare tale strumento è necessario che titoli di credito - promissory notes o bills of exchange – siano redatti secondo i principi di astrattezza, autonomia e negoziabilità indicati nella Convenzione di Ginevra del 1930.  </w:t>
      </w:r>
    </w:p>
    <w:p w:rsidR="00B576FB" w:rsidRDefault="00B576FB" w:rsidP="00B576FB">
      <w:pPr>
        <w:autoSpaceDE w:val="0"/>
        <w:autoSpaceDN w:val="0"/>
        <w:adjustRightInd w:val="0"/>
        <w:spacing w:line="360" w:lineRule="auto"/>
        <w:ind w:left="360" w:right="92"/>
        <w:jc w:val="both"/>
        <w:rPr>
          <w:rFonts w:ascii="Arial" w:hAnsi="Arial" w:cs="Arial"/>
          <w:bCs/>
          <w:sz w:val="20"/>
          <w:szCs w:val="20"/>
        </w:rPr>
      </w:pPr>
      <w:r>
        <w:rPr>
          <w:rFonts w:ascii="Arial" w:hAnsi="Arial" w:cs="Arial"/>
          <w:bCs/>
          <w:sz w:val="20"/>
          <w:szCs w:val="20"/>
        </w:rPr>
        <w:t>Di seguito i requisiti previsti  per la voltura:</w:t>
      </w:r>
    </w:p>
    <w:p w:rsidR="00B576FB" w:rsidRDefault="00B576FB" w:rsidP="00B576FB">
      <w:pPr>
        <w:numPr>
          <w:ilvl w:val="0"/>
          <w:numId w:val="13"/>
        </w:numPr>
        <w:autoSpaceDE w:val="0"/>
        <w:autoSpaceDN w:val="0"/>
        <w:adjustRightInd w:val="0"/>
        <w:spacing w:line="360" w:lineRule="auto"/>
        <w:ind w:right="92"/>
        <w:jc w:val="both"/>
        <w:rPr>
          <w:rFonts w:ascii="Arial" w:hAnsi="Arial" w:cs="Arial"/>
          <w:bCs/>
          <w:sz w:val="20"/>
          <w:szCs w:val="20"/>
        </w:rPr>
      </w:pPr>
      <w:r>
        <w:rPr>
          <w:rFonts w:ascii="Arial" w:hAnsi="Arial" w:cs="Arial"/>
          <w:bCs/>
          <w:sz w:val="20"/>
          <w:szCs w:val="20"/>
        </w:rPr>
        <w:t>Assicurazione valida ed efficace;</w:t>
      </w:r>
    </w:p>
    <w:p w:rsidR="00B576FB" w:rsidRDefault="00B576FB" w:rsidP="00B576FB">
      <w:pPr>
        <w:numPr>
          <w:ilvl w:val="0"/>
          <w:numId w:val="13"/>
        </w:numPr>
        <w:autoSpaceDE w:val="0"/>
        <w:autoSpaceDN w:val="0"/>
        <w:adjustRightInd w:val="0"/>
        <w:spacing w:line="360" w:lineRule="auto"/>
        <w:ind w:right="92"/>
        <w:jc w:val="both"/>
        <w:rPr>
          <w:rFonts w:ascii="Arial" w:hAnsi="Arial" w:cs="Arial"/>
          <w:bCs/>
          <w:sz w:val="20"/>
          <w:szCs w:val="20"/>
        </w:rPr>
      </w:pPr>
      <w:r>
        <w:rPr>
          <w:rFonts w:ascii="Arial" w:hAnsi="Arial" w:cs="Arial"/>
          <w:bCs/>
          <w:sz w:val="20"/>
          <w:szCs w:val="20"/>
        </w:rPr>
        <w:t>dal momento che la cessione dei titoli di credito viene di norma effettuata dopo l’integrale adempimento delle obbligazioni contrattuali da parte dell’esportatore si richiede l’ esistenza di un verbale di accettazione e/o positivo collaudo da parte dell'Acquirente ovvero, per i contratti che non prevedono il rilascio di tali certificati, acquisizione di una dichiarazione dello stesso Acquirente attestante la corrispondenza della merce resa a quanto contrattualmente pattuito; si richiede inoltre un’ attestazione per iscritto dell’esportatore attestante la non esistenza di controversie in corso derivanti  o comunque connesse con il Contratto.</w:t>
      </w:r>
    </w:p>
    <w:p w:rsidR="00B576FB" w:rsidRDefault="00B576FB" w:rsidP="00B576FB">
      <w:pPr>
        <w:numPr>
          <w:ilvl w:val="0"/>
          <w:numId w:val="13"/>
        </w:numPr>
        <w:autoSpaceDE w:val="0"/>
        <w:autoSpaceDN w:val="0"/>
        <w:adjustRightInd w:val="0"/>
        <w:spacing w:line="360" w:lineRule="auto"/>
        <w:ind w:right="92"/>
        <w:jc w:val="both"/>
        <w:rPr>
          <w:rFonts w:ascii="Arial" w:hAnsi="Arial" w:cs="Arial"/>
          <w:bCs/>
          <w:sz w:val="20"/>
          <w:szCs w:val="20"/>
        </w:rPr>
      </w:pPr>
      <w:r>
        <w:rPr>
          <w:rFonts w:ascii="Arial" w:hAnsi="Arial" w:cs="Arial"/>
          <w:bCs/>
          <w:sz w:val="20"/>
          <w:szCs w:val="20"/>
        </w:rPr>
        <w:t>cessione dei crediti pro-soluto dall’esportatore ad una banca o primaria società finanziaria nazionale od estera (“l’istituto scontante”), previa positiva valutazione del cessionario da parte di SACE, con esplicita assunzione della garanzia dell’esistenza del credito;</w:t>
      </w:r>
    </w:p>
    <w:p w:rsidR="00B576FB" w:rsidRDefault="00B576FB" w:rsidP="00B576FB">
      <w:pPr>
        <w:numPr>
          <w:ilvl w:val="0"/>
          <w:numId w:val="13"/>
        </w:numPr>
        <w:autoSpaceDE w:val="0"/>
        <w:autoSpaceDN w:val="0"/>
        <w:adjustRightInd w:val="0"/>
        <w:spacing w:line="360" w:lineRule="auto"/>
        <w:ind w:right="92"/>
        <w:jc w:val="both"/>
        <w:rPr>
          <w:rFonts w:ascii="Arial" w:hAnsi="Arial" w:cs="Arial"/>
          <w:bCs/>
          <w:sz w:val="20"/>
          <w:szCs w:val="20"/>
        </w:rPr>
      </w:pPr>
      <w:r>
        <w:rPr>
          <w:rFonts w:ascii="Arial" w:hAnsi="Arial" w:cs="Arial"/>
          <w:bCs/>
          <w:sz w:val="20"/>
          <w:szCs w:val="20"/>
        </w:rPr>
        <w:t>verifica dell’istituto scontante circa la regolarità e validità formale dei titoli di credito oggetto di cessione;</w:t>
      </w:r>
    </w:p>
    <w:p w:rsidR="00B576FB" w:rsidRDefault="00B576FB" w:rsidP="00B576FB">
      <w:pPr>
        <w:numPr>
          <w:ilvl w:val="0"/>
          <w:numId w:val="13"/>
        </w:numPr>
        <w:autoSpaceDE w:val="0"/>
        <w:autoSpaceDN w:val="0"/>
        <w:adjustRightInd w:val="0"/>
        <w:spacing w:line="360" w:lineRule="auto"/>
        <w:ind w:right="92"/>
        <w:jc w:val="both"/>
        <w:rPr>
          <w:rFonts w:ascii="Arial" w:hAnsi="Arial" w:cs="Arial"/>
          <w:bCs/>
          <w:sz w:val="20"/>
          <w:szCs w:val="20"/>
        </w:rPr>
      </w:pPr>
      <w:r>
        <w:rPr>
          <w:rFonts w:ascii="Arial" w:hAnsi="Arial" w:cs="Arial"/>
          <w:bCs/>
          <w:sz w:val="20"/>
          <w:szCs w:val="20"/>
        </w:rPr>
        <w:t>l’istituto scontante sia divenuto portatore legittimo dei titoli di credito e ne abbia acquistato il possesso in buona fede;</w:t>
      </w:r>
    </w:p>
    <w:p w:rsidR="00B576FB" w:rsidRDefault="00B576FB" w:rsidP="00B576FB">
      <w:pPr>
        <w:numPr>
          <w:ilvl w:val="0"/>
          <w:numId w:val="13"/>
        </w:numPr>
        <w:autoSpaceDE w:val="0"/>
        <w:autoSpaceDN w:val="0"/>
        <w:adjustRightInd w:val="0"/>
        <w:spacing w:line="360" w:lineRule="auto"/>
        <w:ind w:right="92"/>
        <w:jc w:val="both"/>
        <w:rPr>
          <w:rFonts w:ascii="Arial" w:hAnsi="Arial" w:cs="Arial"/>
          <w:bCs/>
          <w:sz w:val="20"/>
          <w:szCs w:val="20"/>
        </w:rPr>
      </w:pPr>
      <w:r>
        <w:rPr>
          <w:rFonts w:ascii="Arial" w:hAnsi="Arial" w:cs="Arial"/>
          <w:bCs/>
          <w:sz w:val="20"/>
          <w:szCs w:val="20"/>
        </w:rPr>
        <w:t>dichiarazione dell’istituto scontante sullo stato dei propri rapporti con l’esportatore;</w:t>
      </w:r>
    </w:p>
    <w:p w:rsidR="00B576FB" w:rsidRDefault="00B576FB" w:rsidP="00B576FB">
      <w:pPr>
        <w:numPr>
          <w:ilvl w:val="0"/>
          <w:numId w:val="13"/>
        </w:numPr>
        <w:autoSpaceDE w:val="0"/>
        <w:autoSpaceDN w:val="0"/>
        <w:adjustRightInd w:val="0"/>
        <w:spacing w:line="360" w:lineRule="auto"/>
        <w:ind w:right="92"/>
        <w:jc w:val="both"/>
        <w:rPr>
          <w:rFonts w:ascii="Arial" w:hAnsi="Arial" w:cs="Arial"/>
          <w:bCs/>
          <w:sz w:val="20"/>
          <w:szCs w:val="20"/>
        </w:rPr>
      </w:pPr>
      <w:r>
        <w:rPr>
          <w:rFonts w:ascii="Arial" w:hAnsi="Arial" w:cs="Arial"/>
          <w:bCs/>
          <w:sz w:val="20"/>
          <w:szCs w:val="20"/>
        </w:rPr>
        <w:t xml:space="preserve">impegno dell’esportatore, espressamente previsto nel contratto di sconto, ad assicurare la necessaria collaborazione all’istituto scontante per l’adempimento degli obblighi ed oneri relativi a trasmissione di documenti ed informazioni previsti dalla Polizza, nonché degli obblighi ed oneri gravanti sull’esportatore quale parte del contratto commerciale, con specifico, ma non </w:t>
      </w:r>
      <w:r>
        <w:rPr>
          <w:rFonts w:ascii="Arial" w:hAnsi="Arial" w:cs="Arial"/>
          <w:bCs/>
          <w:sz w:val="20"/>
          <w:szCs w:val="20"/>
        </w:rPr>
        <w:lastRenderedPageBreak/>
        <w:t>esclusivo, riferimento alla prova dell’eventuale sussistenza di sinistri e del relativo ammontare indennizzabile;</w:t>
      </w:r>
    </w:p>
    <w:p w:rsidR="00B576FB" w:rsidRDefault="00B576FB" w:rsidP="00B576FB">
      <w:pPr>
        <w:numPr>
          <w:ilvl w:val="0"/>
          <w:numId w:val="13"/>
        </w:numPr>
        <w:autoSpaceDE w:val="0"/>
        <w:autoSpaceDN w:val="0"/>
        <w:adjustRightInd w:val="0"/>
        <w:spacing w:line="360" w:lineRule="auto"/>
        <w:ind w:right="92"/>
        <w:jc w:val="both"/>
        <w:rPr>
          <w:rFonts w:ascii="Arial" w:hAnsi="Arial" w:cs="Arial"/>
          <w:bCs/>
          <w:sz w:val="20"/>
          <w:szCs w:val="20"/>
        </w:rPr>
      </w:pPr>
      <w:r>
        <w:rPr>
          <w:rFonts w:ascii="Arial" w:hAnsi="Arial" w:cs="Arial"/>
          <w:sz w:val="20"/>
          <w:szCs w:val="20"/>
        </w:rPr>
        <w:t>impegno del</w:t>
      </w:r>
      <w:r>
        <w:rPr>
          <w:rFonts w:ascii="Arial" w:hAnsi="Arial" w:cs="Arial"/>
          <w:bCs/>
          <w:sz w:val="20"/>
          <w:szCs w:val="20"/>
        </w:rPr>
        <w:t>l’istituto scontante</w:t>
      </w:r>
      <w:r>
        <w:rPr>
          <w:rFonts w:ascii="Arial" w:hAnsi="Arial" w:cs="Arial"/>
          <w:sz w:val="20"/>
          <w:szCs w:val="20"/>
        </w:rPr>
        <w:t xml:space="preserve"> di voler succedere negli obblighi, oneri e diritti derivanti dalla Polizza. Per inadempimenti commessi precedentemente alla voltura, l’esportatore cedente ne resta responsabile ed il diritto all’indennizzo per </w:t>
      </w:r>
      <w:r>
        <w:rPr>
          <w:rFonts w:ascii="Arial" w:hAnsi="Arial" w:cs="Arial"/>
          <w:bCs/>
          <w:sz w:val="20"/>
          <w:szCs w:val="20"/>
        </w:rPr>
        <w:t>l’istituto scontante</w:t>
      </w:r>
      <w:r>
        <w:rPr>
          <w:rFonts w:ascii="Arial" w:hAnsi="Arial" w:cs="Arial"/>
          <w:sz w:val="20"/>
          <w:szCs w:val="20"/>
        </w:rPr>
        <w:t xml:space="preserve"> non viene pregiudicato;</w:t>
      </w:r>
    </w:p>
    <w:p w:rsidR="00B576FB" w:rsidRDefault="00B576FB" w:rsidP="00B576FB">
      <w:pPr>
        <w:numPr>
          <w:ilvl w:val="0"/>
          <w:numId w:val="13"/>
        </w:numPr>
        <w:autoSpaceDE w:val="0"/>
        <w:autoSpaceDN w:val="0"/>
        <w:adjustRightInd w:val="0"/>
        <w:spacing w:line="360" w:lineRule="auto"/>
        <w:ind w:right="92"/>
        <w:jc w:val="both"/>
        <w:rPr>
          <w:rFonts w:ascii="Arial" w:hAnsi="Arial" w:cs="Arial"/>
          <w:bCs/>
          <w:sz w:val="20"/>
          <w:szCs w:val="20"/>
        </w:rPr>
      </w:pPr>
      <w:r>
        <w:rPr>
          <w:rFonts w:ascii="Arial" w:hAnsi="Arial" w:cs="Arial"/>
          <w:bCs/>
          <w:sz w:val="20"/>
          <w:szCs w:val="20"/>
        </w:rPr>
        <w:t>impegno dell’istituto scontante a non riscontare in futuro i titoli di credito acquistati senza la specifica ed espressa approvazione di SACE dell'operazione di risconto a favore del giratario successivo, il quale subentrerà in tutti gli obblighi, oneri e diritti derivanti dalla Polizza. Di eventuali inadempimenti commessi dal precedente intestatario della Polizza ne continuerà a rispondere quest’ultimo, e così per tutte le eventuali successive operazioni di risconto (che dovranno riguardare l'intero credito oggetto del contratto commerciale).</w:t>
      </w:r>
    </w:p>
    <w:p w:rsidR="00B576FB" w:rsidRDefault="00B576FB" w:rsidP="00B576FB">
      <w:pPr>
        <w:autoSpaceDE w:val="0"/>
        <w:autoSpaceDN w:val="0"/>
        <w:adjustRightInd w:val="0"/>
        <w:spacing w:line="360" w:lineRule="auto"/>
        <w:ind w:right="92"/>
        <w:jc w:val="both"/>
        <w:rPr>
          <w:rFonts w:ascii="Arial" w:hAnsi="Arial" w:cs="Arial"/>
          <w:sz w:val="20"/>
          <w:szCs w:val="20"/>
        </w:rPr>
      </w:pP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Polizza Plus One</w:t>
      </w:r>
    </w:p>
    <w:p w:rsidR="00B576FB" w:rsidRDefault="00B576FB" w:rsidP="00B576FB">
      <w:pPr>
        <w:autoSpaceDE w:val="0"/>
        <w:autoSpaceDN w:val="0"/>
        <w:adjustRightInd w:val="0"/>
        <w:spacing w:line="360" w:lineRule="auto"/>
        <w:ind w:left="360" w:right="92"/>
        <w:jc w:val="both"/>
        <w:rPr>
          <w:rFonts w:ascii="Arial" w:hAnsi="Arial" w:cs="Arial"/>
          <w:sz w:val="20"/>
          <w:szCs w:val="20"/>
        </w:rPr>
      </w:pPr>
      <w:smartTag w:uri="urn:schemas-microsoft-com:office:smarttags" w:element="PersonName">
        <w:smartTagPr>
          <w:attr w:name="ProductID" w:val="La Polizza Plus"/>
        </w:smartTagPr>
        <w:r>
          <w:rPr>
            <w:rFonts w:ascii="Arial" w:hAnsi="Arial" w:cs="Arial"/>
            <w:sz w:val="20"/>
            <w:szCs w:val="20"/>
          </w:rPr>
          <w:t>La Polizza Plus</w:t>
        </w:r>
      </w:smartTag>
      <w:r>
        <w:rPr>
          <w:rFonts w:ascii="Arial" w:hAnsi="Arial" w:cs="Arial"/>
          <w:sz w:val="20"/>
          <w:szCs w:val="20"/>
        </w:rPr>
        <w:t xml:space="preserve"> One costituisce una versione semplificata ed attivabile on line (all’indirizzo www.exportplus.it)  della Polizza Credito Fornitore. Presenta le stesse caratteristiche della Polizza Credito Fornitore ma pone un limite massimo di importo pari a € 5 milioni ed una dilazione di pagamento massima pari a 5 anni. Per quanto riguarda la tipologia di rischi si richiama a quanto detto per </w:t>
      </w:r>
      <w:smartTag w:uri="urn:schemas-microsoft-com:office:smarttags" w:element="PersonName">
        <w:smartTagPr>
          <w:attr w:name="ProductID" w:val="la Polizza Credito"/>
        </w:smartTagPr>
        <w:r>
          <w:rPr>
            <w:rFonts w:ascii="Arial" w:hAnsi="Arial" w:cs="Arial"/>
            <w:sz w:val="20"/>
            <w:szCs w:val="20"/>
          </w:rPr>
          <w:t>la Polizza Credito</w:t>
        </w:r>
      </w:smartTag>
      <w:r>
        <w:rPr>
          <w:rFonts w:ascii="Arial" w:hAnsi="Arial" w:cs="Arial"/>
          <w:sz w:val="20"/>
          <w:szCs w:val="20"/>
        </w:rPr>
        <w:t xml:space="preserve"> Fornitore classica.</w:t>
      </w:r>
    </w:p>
    <w:p w:rsidR="00B576FB" w:rsidRDefault="00B576FB" w:rsidP="00B576FB">
      <w:pPr>
        <w:autoSpaceDE w:val="0"/>
        <w:autoSpaceDN w:val="0"/>
        <w:adjustRightInd w:val="0"/>
        <w:spacing w:line="360" w:lineRule="auto"/>
        <w:ind w:right="92"/>
        <w:jc w:val="both"/>
        <w:rPr>
          <w:rFonts w:ascii="Arial" w:hAnsi="Arial" w:cs="Arial"/>
          <w:sz w:val="20"/>
          <w:szCs w:val="20"/>
        </w:rPr>
      </w:pP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Polizza Basic</w:t>
      </w: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 xml:space="preserve">Anche </w:t>
      </w:r>
      <w:smartTag w:uri="urn:schemas-microsoft-com:office:smarttags" w:element="PersonName">
        <w:smartTagPr>
          <w:attr w:name="ProductID" w:val="la Polizza Basic"/>
        </w:smartTagPr>
        <w:r>
          <w:rPr>
            <w:rFonts w:ascii="Arial" w:hAnsi="Arial" w:cs="Arial"/>
            <w:sz w:val="20"/>
            <w:szCs w:val="20"/>
          </w:rPr>
          <w:t>la Polizza Basic</w:t>
        </w:r>
      </w:smartTag>
      <w:r>
        <w:rPr>
          <w:rFonts w:ascii="Arial" w:hAnsi="Arial" w:cs="Arial"/>
          <w:sz w:val="20"/>
          <w:szCs w:val="20"/>
        </w:rPr>
        <w:t xml:space="preserve"> costituisce una variante semplificata della Polizza Credito Fornitore. La garanzia riguarda operazioni di esportazione singole di importo non superiore ad € 500.000 e con dilazione massima pari a 36 mesi. La copertura in questo caso è però limitata ai soli rischi di mancato pagamento per eventi di natura politica e commerciale. Come </w:t>
      </w:r>
      <w:smartTag w:uri="urn:schemas-microsoft-com:office:smarttags" w:element="PersonName">
        <w:smartTagPr>
          <w:attr w:name="ProductID" w:val="La Polizza Plus"/>
        </w:smartTagPr>
        <w:r>
          <w:rPr>
            <w:rFonts w:ascii="Arial" w:hAnsi="Arial" w:cs="Arial"/>
            <w:sz w:val="20"/>
            <w:szCs w:val="20"/>
          </w:rPr>
          <w:t>la Polizza Plus</w:t>
        </w:r>
      </w:smartTag>
      <w:r>
        <w:rPr>
          <w:rFonts w:ascii="Arial" w:hAnsi="Arial" w:cs="Arial"/>
          <w:sz w:val="20"/>
          <w:szCs w:val="20"/>
        </w:rPr>
        <w:t xml:space="preserve"> One è attivabile anche on line </w:t>
      </w:r>
    </w:p>
    <w:p w:rsidR="00B576FB" w:rsidRDefault="00B576FB" w:rsidP="00B576FB">
      <w:pPr>
        <w:autoSpaceDE w:val="0"/>
        <w:autoSpaceDN w:val="0"/>
        <w:adjustRightInd w:val="0"/>
        <w:spacing w:line="360" w:lineRule="auto"/>
        <w:ind w:left="360" w:right="92"/>
        <w:jc w:val="both"/>
        <w:rPr>
          <w:rFonts w:ascii="Arial" w:hAnsi="Arial" w:cs="Arial"/>
          <w:i/>
          <w:sz w:val="20"/>
          <w:szCs w:val="20"/>
        </w:rPr>
      </w:pPr>
      <w:r>
        <w:rPr>
          <w:rFonts w:ascii="Arial" w:hAnsi="Arial" w:cs="Arial"/>
          <w:i/>
          <w:sz w:val="20"/>
          <w:szCs w:val="20"/>
        </w:rPr>
        <w:t xml:space="preserve">5.2 Polizza Lavori </w:t>
      </w: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 xml:space="preserve">La polizza Lavori è un prodotto dedicato ad imprese italiane  che eseguono appalti in ambito civile o che eseguono contratti di fornitura con incluso il servizio di “posa in opera”. </w:t>
      </w:r>
      <w:smartTag w:uri="urn:schemas-microsoft-com:office:smarttags" w:element="PersonName">
        <w:smartTagPr>
          <w:attr w:name="ProductID" w:val="La Polizza"/>
        </w:smartTagPr>
        <w:r>
          <w:rPr>
            <w:rFonts w:ascii="Arial" w:hAnsi="Arial" w:cs="Arial"/>
            <w:sz w:val="20"/>
            <w:szCs w:val="20"/>
          </w:rPr>
          <w:t>La Polizza</w:t>
        </w:r>
      </w:smartTag>
      <w:r>
        <w:rPr>
          <w:rFonts w:ascii="Arial" w:hAnsi="Arial" w:cs="Arial"/>
          <w:sz w:val="20"/>
          <w:szCs w:val="20"/>
        </w:rPr>
        <w:t xml:space="preserve"> lavori copre i rischi derivanti da mancato pagamento (di natura politica e commerciale) e da revoca della commessa (o comunque in corso di esecuzione della stessa). Destinatari dunque della polizza sono le imprese italiane (o loro collegate/controllate estere) che eseguono lavori di costruzione o di impiantistica, solitamente con condizioni di pagamento praticate a stato avanzamento lavori o con consegna di impianti”chiavi in mano”. Ulteriori rischi assicurati, oltre a quelli sopra citati, sono i rischi derivanti dall’indebita escussione di garanzie ( spesso presenti in tali tipologie di contratti) nonché dai rischi di distruzione, danneggiamento, confisca di beni temporaneamente esportati (ivi inclusi i macchinari o i </w:t>
      </w:r>
      <w:r>
        <w:rPr>
          <w:rFonts w:ascii="Arial" w:hAnsi="Arial" w:cs="Arial"/>
          <w:sz w:val="20"/>
          <w:szCs w:val="20"/>
        </w:rPr>
        <w:lastRenderedPageBreak/>
        <w:t xml:space="preserve">mezzi necessari all’esecuzione dell’opera). Sarà il soggetto assicurato ad indicare il massimale dal quale discenderà il prezzo del premio.     </w:t>
      </w:r>
    </w:p>
    <w:p w:rsidR="00B576FB" w:rsidRDefault="00B576FB" w:rsidP="00B576FB">
      <w:pPr>
        <w:autoSpaceDE w:val="0"/>
        <w:autoSpaceDN w:val="0"/>
        <w:adjustRightInd w:val="0"/>
        <w:spacing w:line="360" w:lineRule="auto"/>
        <w:ind w:left="360" w:right="92"/>
        <w:jc w:val="both"/>
        <w:rPr>
          <w:rFonts w:ascii="Arial" w:hAnsi="Arial" w:cs="Arial"/>
          <w:i/>
          <w:sz w:val="20"/>
          <w:szCs w:val="20"/>
        </w:rPr>
      </w:pPr>
      <w:r>
        <w:rPr>
          <w:rFonts w:ascii="Arial" w:hAnsi="Arial" w:cs="Arial"/>
          <w:i/>
          <w:sz w:val="20"/>
          <w:szCs w:val="20"/>
        </w:rPr>
        <w:t>5.3 Polizza Multimarket Globale</w:t>
      </w: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 xml:space="preserve">La polizza Multimarket globale, gestita da Sace BT, consente di assicurare tutti i crediti di un’impresa dai rischi derivanti dal mancato pagamento dovuto ad eventi di natura politica e commerciale, anche se è possibile l’opzione di copertura del solo rischio commerciale. Attraverso tale strumento l’impresa può assicurare il proprio fatturato sia nazionale che estero, derivante da vendite effettuate con dilazioni fino ad un massimo di 12 mesi. La polizza, di durata annuale, consente la scelta tra l’assicurazione dell’intero fatturato piuttosto che segmenti dello stesso ( ad es. tutti i crediti derivanti dalle vendite effettuate in una determinata zona geografica) con copertura, in caso di insoluto, variabile a seconda del rischio Paese fino ad un massimo del 90%. In linea di massima è praticabile verso tutti i Paesi tranne quelli chiusi o in sospensiva (soggetti a variazioni e visibili sul sito internet di Sace). </w:t>
      </w:r>
    </w:p>
    <w:p w:rsidR="00B576FB" w:rsidRDefault="00B576FB" w:rsidP="00B576FB">
      <w:pPr>
        <w:autoSpaceDE w:val="0"/>
        <w:autoSpaceDN w:val="0"/>
        <w:adjustRightInd w:val="0"/>
        <w:spacing w:line="360" w:lineRule="auto"/>
        <w:ind w:left="360" w:right="92"/>
        <w:jc w:val="both"/>
        <w:rPr>
          <w:rFonts w:ascii="Arial" w:hAnsi="Arial" w:cs="Arial"/>
          <w:i/>
          <w:sz w:val="20"/>
          <w:szCs w:val="20"/>
        </w:rPr>
      </w:pPr>
      <w:r>
        <w:rPr>
          <w:rFonts w:ascii="Arial" w:hAnsi="Arial" w:cs="Arial"/>
          <w:i/>
          <w:sz w:val="20"/>
          <w:szCs w:val="20"/>
        </w:rPr>
        <w:t>5.4 Polizza Multiexport online</w:t>
      </w: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La polizza in oggetto, anch’essa gestita da Sace BT, è attivabile anche in modalità online e consente all’impresa di assicurare singoli clienti, fino ad un basket composto al massimo da dieci clienti, per transazioni ripetute effettuate verso gli stessi nell’arco di un anno e comprensive di dilazioni fino ad un massimo di 12 mesi. La polizza, di durata annuale, prevede la preventiva valutazione dei singoli clienti e copre l’assicurato dai rischi di mancato pagamento derivanti da eventi di natura commerciale e politica (con la possibilità di coprire soltanto il rischio commerciale)</w:t>
      </w: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 xml:space="preserve"> Lo strumento è utile all’impresa che effettua ripetute transazioni con uno o più clienti esteri e prevede, come la polizza Multimarket globale, una copertura massima del 90% a seconda del rischio paese e con l’esclusione dei paesi chiusi o in sospensiva.</w:t>
      </w:r>
    </w:p>
    <w:p w:rsidR="00B576FB" w:rsidRDefault="00B576FB" w:rsidP="00B576FB">
      <w:pPr>
        <w:autoSpaceDE w:val="0"/>
        <w:autoSpaceDN w:val="0"/>
        <w:adjustRightInd w:val="0"/>
        <w:spacing w:line="360" w:lineRule="auto"/>
        <w:ind w:left="360" w:right="92"/>
        <w:jc w:val="both"/>
        <w:rPr>
          <w:rFonts w:ascii="Arial" w:hAnsi="Arial" w:cs="Arial"/>
          <w:sz w:val="20"/>
          <w:szCs w:val="20"/>
        </w:rPr>
      </w:pPr>
    </w:p>
    <w:p w:rsidR="00B576FB" w:rsidRDefault="00B576FB" w:rsidP="00B576FB">
      <w:pPr>
        <w:autoSpaceDE w:val="0"/>
        <w:autoSpaceDN w:val="0"/>
        <w:adjustRightInd w:val="0"/>
        <w:spacing w:line="360" w:lineRule="auto"/>
        <w:ind w:left="360" w:right="92"/>
        <w:jc w:val="both"/>
        <w:rPr>
          <w:rFonts w:ascii="Arial" w:hAnsi="Arial" w:cs="Arial"/>
          <w:b/>
          <w:sz w:val="20"/>
          <w:szCs w:val="20"/>
        </w:rPr>
      </w:pPr>
      <w:r>
        <w:rPr>
          <w:rFonts w:ascii="Arial" w:hAnsi="Arial" w:cs="Arial"/>
          <w:b/>
          <w:sz w:val="20"/>
          <w:szCs w:val="20"/>
        </w:rPr>
        <w:t>6. Sace: Prodotti Bancari</w:t>
      </w:r>
    </w:p>
    <w:p w:rsidR="00B576FB" w:rsidRDefault="00B576FB" w:rsidP="00B576FB">
      <w:pPr>
        <w:autoSpaceDE w:val="0"/>
        <w:autoSpaceDN w:val="0"/>
        <w:adjustRightInd w:val="0"/>
        <w:spacing w:line="360" w:lineRule="auto"/>
        <w:ind w:left="360" w:right="92"/>
        <w:jc w:val="both"/>
        <w:rPr>
          <w:rFonts w:ascii="Arial" w:hAnsi="Arial" w:cs="Arial"/>
          <w:i/>
          <w:sz w:val="20"/>
          <w:szCs w:val="20"/>
        </w:rPr>
      </w:pPr>
      <w:r>
        <w:rPr>
          <w:rFonts w:ascii="Arial" w:hAnsi="Arial" w:cs="Arial"/>
          <w:i/>
          <w:sz w:val="20"/>
          <w:szCs w:val="20"/>
        </w:rPr>
        <w:t>6.1 Garanzia Finanziaria / Polizza Credito Acquirente</w:t>
      </w: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 xml:space="preserve">Tale strumento è dedicato a Banche italiane o estere che finanziano le iniziative all’estero dell’impresa italiana (o sue partecipate/controllate estere) e garantisce i finanziamenti concessi ai clienti dell’impresa  ( operazioni di Buyer’s credit). È prevista per operazioni di durata fino ad un massimo di 8, 5 anni ma è possibile richiedere un’estensione fino a 10 anni in caso di operazioni effettuate in paesi non particolarmente rischiosi e fino a 14 anni per operazioni di project finance; consente la copertura del rischio di mancato pagamento del credito concesso per eventi generatori di sinistro di natura politica e commerciale. </w:t>
      </w: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 xml:space="preserve">La polizza in oggetto risulta essere vantaggiosa per tutti i soggetti coinvolti in quanto consente all’esportatore la certezza dell’incasso ed una maggiore competitività delle condizioni di pagamento praticate al cliente, alla banca dell’impresa esportatrice la garanzia sul finanziamento ed una migliore </w:t>
      </w:r>
      <w:r>
        <w:rPr>
          <w:rFonts w:ascii="Arial" w:hAnsi="Arial" w:cs="Arial"/>
          <w:sz w:val="20"/>
          <w:szCs w:val="20"/>
        </w:rPr>
        <w:lastRenderedPageBreak/>
        <w:t>valutazione del rischio paese ed infine al cliente dell’impresa condizioni di finanziamento vantaggiose in termini di durata, costo e tassi di interesse praticati. Altra importante caratteristica è la cumulabilità  con l’ulteriore intervento agevolativo di Simest volto alla stabilizzazione dei tassi di interesse.</w:t>
      </w:r>
    </w:p>
    <w:p w:rsidR="00B576FB" w:rsidRDefault="00B576FB" w:rsidP="00B576FB">
      <w:pPr>
        <w:autoSpaceDE w:val="0"/>
        <w:autoSpaceDN w:val="0"/>
        <w:adjustRightInd w:val="0"/>
        <w:spacing w:line="360" w:lineRule="auto"/>
        <w:ind w:left="360" w:right="92"/>
        <w:jc w:val="both"/>
        <w:rPr>
          <w:rFonts w:ascii="Arial" w:hAnsi="Arial" w:cs="Arial"/>
          <w:i/>
          <w:sz w:val="20"/>
          <w:szCs w:val="20"/>
        </w:rPr>
      </w:pPr>
      <w:r>
        <w:rPr>
          <w:rFonts w:ascii="Arial" w:hAnsi="Arial" w:cs="Arial"/>
          <w:i/>
          <w:sz w:val="20"/>
          <w:szCs w:val="20"/>
        </w:rPr>
        <w:t>6.2 Polizza Conferme di credito documentario</w:t>
      </w: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 xml:space="preserve">La polizza in oggetto consente alla banca dell’esportatore di ottenere una garanzia dal rischio di mancato rimborso dell’importo della lettera di credito da parte della banca emittente il credito ed è dedicata a banche, sia italiane che estere, che concedono finanziamenti ad acquirenti esteri per il pagamento della fornitura dilazionata fino ad un massimo di 8,5 anni estensibile a </w:t>
      </w:r>
      <w:smartTag w:uri="urn:schemas-microsoft-com:office:smarttags" w:element="metricconverter">
        <w:smartTagPr>
          <w:attr w:name="ProductID" w:val="10 in"/>
        </w:smartTagPr>
        <w:r>
          <w:rPr>
            <w:rFonts w:ascii="Arial" w:hAnsi="Arial" w:cs="Arial"/>
            <w:sz w:val="20"/>
            <w:szCs w:val="20"/>
          </w:rPr>
          <w:t>10 in</w:t>
        </w:r>
      </w:smartTag>
      <w:r>
        <w:rPr>
          <w:rFonts w:ascii="Arial" w:hAnsi="Arial" w:cs="Arial"/>
          <w:sz w:val="20"/>
          <w:szCs w:val="20"/>
        </w:rPr>
        <w:t xml:space="preserve"> caso di Paesi non ritenuti particolarmente rischiosi. La tipologia di rischio assicurato, anche in questo caso, è il mancato pagamento derivante da eventi di natura commerciale e politica.  Per importi fino ad un massimo di 5 milioni di Euro e della durata fino a 5 anni è possibile ottenere il rilascio della polizza anche in modalità online attraverso il sito internet www.exportplus.it </w:t>
      </w:r>
    </w:p>
    <w:p w:rsidR="00B576FB" w:rsidRDefault="00B576FB" w:rsidP="00B576FB">
      <w:pPr>
        <w:autoSpaceDE w:val="0"/>
        <w:autoSpaceDN w:val="0"/>
        <w:adjustRightInd w:val="0"/>
        <w:spacing w:line="360" w:lineRule="auto"/>
        <w:ind w:left="360" w:right="92"/>
        <w:jc w:val="both"/>
        <w:rPr>
          <w:rFonts w:ascii="Arial" w:hAnsi="Arial" w:cs="Arial"/>
          <w:i/>
          <w:sz w:val="20"/>
          <w:szCs w:val="20"/>
        </w:rPr>
      </w:pPr>
      <w:r>
        <w:rPr>
          <w:rFonts w:ascii="Arial" w:hAnsi="Arial" w:cs="Arial"/>
          <w:i/>
          <w:sz w:val="20"/>
          <w:szCs w:val="20"/>
        </w:rPr>
        <w:t>6.3 Export Banca</w:t>
      </w: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 xml:space="preserve">È un’iniziativa prevista dal cosiddetto “decreto anticrisi” e consiste in un sistema predisposto da Sace, dalla Cassa depositi e prestiti e dall’ABI, teso a finanziare operazioni di esportazione, internazionalizzazione o di interesse ritenuto strategico per il sistema economico italiano. Tale strumento consente di fornire alle banche, a condizioni competitive, la provvista per il credito necessario. Per le modalità specifiche si consiglia di contattare direttamente  </w:t>
      </w:r>
      <w:smartTag w:uri="urn:schemas-microsoft-com:office:smarttags" w:element="PersonName">
        <w:smartTagPr>
          <w:attr w:name="ProductID" w:val="la Sace."/>
        </w:smartTagPr>
        <w:r>
          <w:rPr>
            <w:rFonts w:ascii="Arial" w:hAnsi="Arial" w:cs="Arial"/>
            <w:sz w:val="20"/>
            <w:szCs w:val="20"/>
          </w:rPr>
          <w:t>la Sace.</w:t>
        </w:r>
      </w:smartTag>
    </w:p>
    <w:p w:rsidR="00B576FB" w:rsidRDefault="00B576FB" w:rsidP="00B576FB">
      <w:pPr>
        <w:autoSpaceDE w:val="0"/>
        <w:autoSpaceDN w:val="0"/>
        <w:adjustRightInd w:val="0"/>
        <w:spacing w:line="360" w:lineRule="auto"/>
        <w:ind w:left="360" w:right="92"/>
        <w:jc w:val="both"/>
        <w:rPr>
          <w:rFonts w:ascii="Arial" w:hAnsi="Arial" w:cs="Arial"/>
          <w:sz w:val="20"/>
          <w:szCs w:val="20"/>
        </w:rPr>
      </w:pPr>
    </w:p>
    <w:p w:rsidR="00B576FB" w:rsidRDefault="00B576FB" w:rsidP="00B576FB">
      <w:pPr>
        <w:autoSpaceDE w:val="0"/>
        <w:autoSpaceDN w:val="0"/>
        <w:adjustRightInd w:val="0"/>
        <w:spacing w:line="360" w:lineRule="auto"/>
        <w:ind w:left="360" w:right="92"/>
        <w:jc w:val="both"/>
        <w:rPr>
          <w:rFonts w:ascii="Arial" w:hAnsi="Arial" w:cs="Arial"/>
          <w:i/>
          <w:sz w:val="20"/>
          <w:szCs w:val="20"/>
        </w:rPr>
      </w:pPr>
      <w:r>
        <w:rPr>
          <w:rFonts w:ascii="Arial" w:hAnsi="Arial" w:cs="Arial"/>
          <w:i/>
          <w:sz w:val="20"/>
          <w:szCs w:val="20"/>
        </w:rPr>
        <w:t>6.4 Polizza Fideiussioni online</w:t>
      </w: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 xml:space="preserve">La polizza in esame costituisce uno strumento di supporto alla banca dell’impresa e consente, attraverso il rilascio online della polizza a favore della banca, di coprire fino al 70% dell’ammontare complessivo delle garanzie contrattuali emesse con una durata fino a 5 anni e con un impegno assicurativo fino ad 1 milione di Euro. </w:t>
      </w:r>
      <w:smartTag w:uri="urn:schemas-microsoft-com:office:smarttags" w:element="PersonName">
        <w:smartTagPr>
          <w:attr w:name="ProductID" w:val="La Polizza"/>
        </w:smartTagPr>
        <w:r>
          <w:rPr>
            <w:rFonts w:ascii="Arial" w:hAnsi="Arial" w:cs="Arial"/>
            <w:sz w:val="20"/>
            <w:szCs w:val="20"/>
          </w:rPr>
          <w:t>La Polizza</w:t>
        </w:r>
      </w:smartTag>
      <w:r>
        <w:rPr>
          <w:rFonts w:ascii="Arial" w:hAnsi="Arial" w:cs="Arial"/>
          <w:sz w:val="20"/>
          <w:szCs w:val="20"/>
        </w:rPr>
        <w:t xml:space="preserve"> copre dal rischio di escussione arbitraria delle fideiussioni ed è uno strumento dedicato alla banche accreditate sul portale www.exportplus.it che rilasciano garanzie contrattuali nell’interesse di imprese italiane o loro controllate estere impegnate nella realizzazione di commesse all’estero.</w:t>
      </w:r>
    </w:p>
    <w:p w:rsidR="00B576FB" w:rsidRDefault="00B576FB" w:rsidP="00B576FB">
      <w:pPr>
        <w:autoSpaceDE w:val="0"/>
        <w:autoSpaceDN w:val="0"/>
        <w:adjustRightInd w:val="0"/>
        <w:spacing w:line="360" w:lineRule="auto"/>
        <w:ind w:left="360" w:right="92"/>
        <w:jc w:val="both"/>
        <w:rPr>
          <w:rFonts w:ascii="Arial" w:hAnsi="Arial" w:cs="Arial"/>
          <w:sz w:val="20"/>
          <w:szCs w:val="20"/>
        </w:rPr>
      </w:pPr>
    </w:p>
    <w:p w:rsidR="00B576FB" w:rsidRDefault="00B576FB" w:rsidP="00B576FB">
      <w:pPr>
        <w:autoSpaceDE w:val="0"/>
        <w:autoSpaceDN w:val="0"/>
        <w:adjustRightInd w:val="0"/>
        <w:spacing w:line="360" w:lineRule="auto"/>
        <w:ind w:left="360" w:right="92"/>
        <w:jc w:val="both"/>
        <w:rPr>
          <w:rFonts w:ascii="Arial" w:hAnsi="Arial" w:cs="Arial"/>
          <w:b/>
          <w:sz w:val="20"/>
          <w:szCs w:val="20"/>
        </w:rPr>
      </w:pPr>
      <w:r>
        <w:rPr>
          <w:rFonts w:ascii="Arial" w:hAnsi="Arial" w:cs="Arial"/>
          <w:b/>
          <w:sz w:val="20"/>
          <w:szCs w:val="20"/>
        </w:rPr>
        <w:t>7. Sace: Garanzie finanziarie e cauzioni</w:t>
      </w:r>
    </w:p>
    <w:p w:rsidR="00B576FB" w:rsidRDefault="00B576FB" w:rsidP="00B576FB">
      <w:pPr>
        <w:autoSpaceDE w:val="0"/>
        <w:autoSpaceDN w:val="0"/>
        <w:adjustRightInd w:val="0"/>
        <w:spacing w:line="360" w:lineRule="auto"/>
        <w:ind w:left="360" w:right="92"/>
        <w:jc w:val="both"/>
        <w:rPr>
          <w:rFonts w:ascii="Arial" w:hAnsi="Arial" w:cs="Arial"/>
          <w:i/>
          <w:sz w:val="20"/>
          <w:szCs w:val="20"/>
        </w:rPr>
      </w:pPr>
      <w:r>
        <w:rPr>
          <w:rFonts w:ascii="Arial" w:hAnsi="Arial" w:cs="Arial"/>
          <w:i/>
          <w:sz w:val="20"/>
          <w:szCs w:val="20"/>
        </w:rPr>
        <w:t>7.1 Garanzie per appalti</w:t>
      </w: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 xml:space="preserve">Attraverso tale strumento </w:t>
      </w:r>
      <w:smartTag w:uri="urn:schemas-microsoft-com:office:smarttags" w:element="PersonName">
        <w:smartTagPr>
          <w:attr w:name="ProductID" w:val="la  Sace"/>
        </w:smartTagPr>
        <w:r>
          <w:rPr>
            <w:rFonts w:ascii="Arial" w:hAnsi="Arial" w:cs="Arial"/>
            <w:sz w:val="20"/>
            <w:szCs w:val="20"/>
          </w:rPr>
          <w:t>la  Sace</w:t>
        </w:r>
      </w:smartTag>
      <w:r>
        <w:rPr>
          <w:rFonts w:ascii="Arial" w:hAnsi="Arial" w:cs="Arial"/>
          <w:sz w:val="20"/>
          <w:szCs w:val="20"/>
        </w:rPr>
        <w:t xml:space="preserve"> è in grado di fornire tutte le tipologie di garanzia necessarie alla partecipazione ad appalti nazionali ed internazionali. Di seguito una breve esposizione delle singole figure di garanzia:</w:t>
      </w: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Garanzie connesse ad appalti nazionali</w:t>
      </w:r>
    </w:p>
    <w:p w:rsidR="00B576FB" w:rsidRDefault="00B576FB" w:rsidP="00B576FB">
      <w:pPr>
        <w:numPr>
          <w:ilvl w:val="0"/>
          <w:numId w:val="12"/>
        </w:numPr>
        <w:autoSpaceDE w:val="0"/>
        <w:autoSpaceDN w:val="0"/>
        <w:adjustRightInd w:val="0"/>
        <w:spacing w:after="0" w:line="360" w:lineRule="auto"/>
        <w:ind w:right="92"/>
        <w:jc w:val="both"/>
        <w:rPr>
          <w:rFonts w:ascii="Arial" w:hAnsi="Arial" w:cs="Arial"/>
          <w:sz w:val="20"/>
          <w:szCs w:val="20"/>
        </w:rPr>
      </w:pPr>
      <w:r>
        <w:rPr>
          <w:rFonts w:ascii="Arial" w:hAnsi="Arial" w:cs="Arial"/>
          <w:sz w:val="20"/>
          <w:szCs w:val="20"/>
        </w:rPr>
        <w:lastRenderedPageBreak/>
        <w:t>Garanzia Provvisoria: Garantisce, nella fase della gara, l’impegno dell’impresa aggiudicataria a sottoscrivere il relativo contratto.</w:t>
      </w:r>
    </w:p>
    <w:p w:rsidR="00B576FB" w:rsidRDefault="00B576FB" w:rsidP="00B576FB">
      <w:pPr>
        <w:numPr>
          <w:ilvl w:val="0"/>
          <w:numId w:val="12"/>
        </w:numPr>
        <w:autoSpaceDE w:val="0"/>
        <w:autoSpaceDN w:val="0"/>
        <w:adjustRightInd w:val="0"/>
        <w:spacing w:after="0" w:line="360" w:lineRule="auto"/>
        <w:ind w:right="92"/>
        <w:jc w:val="both"/>
        <w:rPr>
          <w:rFonts w:ascii="Arial" w:hAnsi="Arial" w:cs="Arial"/>
          <w:sz w:val="20"/>
          <w:szCs w:val="20"/>
        </w:rPr>
      </w:pPr>
      <w:r>
        <w:rPr>
          <w:rFonts w:ascii="Arial" w:hAnsi="Arial" w:cs="Arial"/>
          <w:sz w:val="20"/>
          <w:szCs w:val="20"/>
        </w:rPr>
        <w:t>Garanzia Definitiva: Garantisce che l’impresa aggiudicataria di un appalto rispetti tutti gli obblighi assunti con la firma del contratto.</w:t>
      </w:r>
    </w:p>
    <w:p w:rsidR="00B576FB" w:rsidRDefault="00B576FB" w:rsidP="00B576FB">
      <w:pPr>
        <w:numPr>
          <w:ilvl w:val="0"/>
          <w:numId w:val="12"/>
        </w:numPr>
        <w:autoSpaceDE w:val="0"/>
        <w:autoSpaceDN w:val="0"/>
        <w:adjustRightInd w:val="0"/>
        <w:spacing w:after="0" w:line="360" w:lineRule="auto"/>
        <w:ind w:right="92"/>
        <w:jc w:val="both"/>
        <w:rPr>
          <w:rFonts w:ascii="Arial" w:hAnsi="Arial" w:cs="Arial"/>
          <w:sz w:val="20"/>
          <w:szCs w:val="20"/>
        </w:rPr>
      </w:pPr>
      <w:r>
        <w:rPr>
          <w:rFonts w:ascii="Arial" w:hAnsi="Arial" w:cs="Arial"/>
          <w:sz w:val="20"/>
          <w:szCs w:val="20"/>
        </w:rPr>
        <w:t>Garanzia per oneri di urbanizzazione: Garantisce l’adempimento degli obblighi contrattuali,  siano essi rappresentati da obblighi di fare (esecuzione diretta delle opere) che da obblighi di dare.</w:t>
      </w:r>
    </w:p>
    <w:p w:rsidR="00B576FB" w:rsidRDefault="00B576FB" w:rsidP="00B576FB">
      <w:pPr>
        <w:autoSpaceDE w:val="0"/>
        <w:autoSpaceDN w:val="0"/>
        <w:adjustRightInd w:val="0"/>
        <w:spacing w:line="360" w:lineRule="auto"/>
        <w:ind w:left="360" w:right="92"/>
        <w:jc w:val="both"/>
        <w:rPr>
          <w:rFonts w:ascii="Arial" w:hAnsi="Arial" w:cs="Arial"/>
          <w:sz w:val="20"/>
          <w:szCs w:val="20"/>
        </w:rPr>
      </w:pP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 xml:space="preserve"> Per quanto riguarda le garanzie connesse ad appalti internazionali è possibile richiedere il rilascio degli strumenti tipici analizzati nel capitolo dedicato alle garanzie internazionali ( Bid Bond, Performance Bond, Advance Payment Bond, Manteinance Bond, Retention Money Bond). A tal proposito però è bene specificare che, nonostante la funzione svolta dei summenzionati strumenti sia la stessa delle ordinarie Garanzie Bancarie comunemente utilizzate, le garanzie di questo tipo rilasciate da Sace frequentemente hanno la struttura di garanzie assicurative. Si raccomanda pertanto di chiarire con Sace, in fase di emissione, le caratteristiche giuridiche della garanzia.  </w:t>
      </w:r>
    </w:p>
    <w:p w:rsidR="00B576FB" w:rsidRDefault="00B576FB" w:rsidP="00B576FB">
      <w:pPr>
        <w:autoSpaceDE w:val="0"/>
        <w:autoSpaceDN w:val="0"/>
        <w:adjustRightInd w:val="0"/>
        <w:spacing w:line="360" w:lineRule="auto"/>
        <w:ind w:left="360" w:right="92"/>
        <w:jc w:val="both"/>
        <w:rPr>
          <w:rFonts w:ascii="Arial" w:hAnsi="Arial" w:cs="Arial"/>
          <w:i/>
          <w:sz w:val="20"/>
          <w:szCs w:val="20"/>
        </w:rPr>
      </w:pPr>
      <w:r>
        <w:rPr>
          <w:rFonts w:ascii="Arial" w:hAnsi="Arial" w:cs="Arial"/>
          <w:i/>
          <w:sz w:val="20"/>
          <w:szCs w:val="20"/>
        </w:rPr>
        <w:t>7.2 Garanzie per rischi della costruzione</w:t>
      </w: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Attraverso tale strumento, come la garanzia descritta nel precedente paragrafo,  Sace è in grado di fornire ulteriori tipologie di garanzia necessarie alla partecipazione ad appalti nazionali ed internazionali ma riferite in maniera specifica al settore dell’edilizia.</w:t>
      </w: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Di seguito una breve esposizione delle singole figure di garanzia:</w:t>
      </w:r>
    </w:p>
    <w:p w:rsidR="00B576FB" w:rsidRDefault="00B576FB" w:rsidP="00B576FB">
      <w:pPr>
        <w:autoSpaceDE w:val="0"/>
        <w:autoSpaceDN w:val="0"/>
        <w:adjustRightInd w:val="0"/>
        <w:spacing w:line="360" w:lineRule="auto"/>
        <w:ind w:left="708" w:right="92"/>
        <w:jc w:val="both"/>
        <w:rPr>
          <w:rFonts w:ascii="Arial" w:hAnsi="Arial" w:cs="Arial"/>
          <w:sz w:val="20"/>
          <w:szCs w:val="20"/>
        </w:rPr>
      </w:pPr>
      <w:r>
        <w:rPr>
          <w:rFonts w:ascii="Arial" w:hAnsi="Arial" w:cs="Arial"/>
          <w:sz w:val="20"/>
          <w:szCs w:val="20"/>
        </w:rPr>
        <w:t>- C.A.R. - tutti i rischi della costruzione (Italia):  garantisce i danni materiali e diretti alle opere in corso di realizzazione o preesistenti. Oltre al rimborso dei costi necessari per rimpiazzare le strutture assicurate, garantisce anche i danni involontariamente cagionati a terzi (morte o lesioni).</w:t>
      </w:r>
    </w:p>
    <w:p w:rsidR="00B576FB" w:rsidRDefault="00B576FB" w:rsidP="00B576FB">
      <w:pPr>
        <w:autoSpaceDE w:val="0"/>
        <w:autoSpaceDN w:val="0"/>
        <w:adjustRightInd w:val="0"/>
        <w:spacing w:line="360" w:lineRule="auto"/>
        <w:ind w:left="708" w:right="92"/>
        <w:jc w:val="both"/>
        <w:rPr>
          <w:rFonts w:ascii="Arial" w:hAnsi="Arial" w:cs="Arial"/>
          <w:sz w:val="20"/>
          <w:szCs w:val="20"/>
        </w:rPr>
      </w:pPr>
      <w:r>
        <w:rPr>
          <w:rFonts w:ascii="Arial" w:hAnsi="Arial" w:cs="Arial"/>
          <w:sz w:val="20"/>
          <w:szCs w:val="20"/>
        </w:rPr>
        <w:t xml:space="preserve">- C.A.R. - tutti i rischi della costruzione per l’estero:  garantisce l’assicurato per i danni materiali e diretti che colpiscano le opere in corso di realizzazione o preesistenti, da qualunque causa determinati, salvo le specifiche esclusioni previste di volta in volta. Opera su testi di diritto italiano a copertura del costruttore italiano che lavora all’estero, oppure con coperture adeguate alla normativa locale identificando </w:t>
      </w:r>
      <w:smartTag w:uri="urn:schemas-microsoft-com:office:smarttags" w:element="PersonName">
        <w:smartTagPr>
          <w:attr w:name="ProductID" w:val="la Compagnia"/>
        </w:smartTagPr>
        <w:r>
          <w:rPr>
            <w:rFonts w:ascii="Arial" w:hAnsi="Arial" w:cs="Arial"/>
            <w:sz w:val="20"/>
            <w:szCs w:val="20"/>
          </w:rPr>
          <w:t>la Compagnia</w:t>
        </w:r>
      </w:smartTag>
      <w:r>
        <w:rPr>
          <w:rFonts w:ascii="Arial" w:hAnsi="Arial" w:cs="Arial"/>
          <w:sz w:val="20"/>
          <w:szCs w:val="20"/>
        </w:rPr>
        <w:t xml:space="preserve"> assicurativa in loco.</w:t>
      </w:r>
    </w:p>
    <w:p w:rsidR="00B576FB" w:rsidRDefault="00B576FB" w:rsidP="00B576FB">
      <w:pPr>
        <w:autoSpaceDE w:val="0"/>
        <w:autoSpaceDN w:val="0"/>
        <w:adjustRightInd w:val="0"/>
        <w:spacing w:line="360" w:lineRule="auto"/>
        <w:ind w:left="708" w:right="92"/>
        <w:jc w:val="both"/>
        <w:rPr>
          <w:rFonts w:ascii="Arial" w:hAnsi="Arial" w:cs="Arial"/>
          <w:sz w:val="20"/>
          <w:szCs w:val="20"/>
        </w:rPr>
      </w:pPr>
      <w:r>
        <w:rPr>
          <w:rFonts w:ascii="Arial" w:hAnsi="Arial" w:cs="Arial"/>
          <w:sz w:val="20"/>
          <w:szCs w:val="20"/>
        </w:rPr>
        <w:t>- Polizza postuma decennale: Garantisce i danni materiali e diretti derivanti da difetto di costruzione nel caso di rovina totale o parziale dell’opera o gravi difetti costruttivi in grado di compromettere la stabilità dell’opera; garantisce inoltre l’assicurato da danni derivanti a terzi a causa di sinistro derivante da difetto di costruzione. Le condizioni di polizza possono essere predisposte sia per contratti riguardanti appalti fra privati sia per appalti riguardanti lavori pubblici.</w:t>
      </w:r>
    </w:p>
    <w:p w:rsidR="00B576FB" w:rsidRDefault="00B576FB" w:rsidP="00B576FB">
      <w:pPr>
        <w:autoSpaceDE w:val="0"/>
        <w:autoSpaceDN w:val="0"/>
        <w:adjustRightInd w:val="0"/>
        <w:spacing w:line="360" w:lineRule="auto"/>
        <w:ind w:left="708" w:right="92"/>
        <w:jc w:val="both"/>
        <w:rPr>
          <w:rFonts w:ascii="Arial" w:hAnsi="Arial" w:cs="Arial"/>
          <w:sz w:val="20"/>
          <w:szCs w:val="20"/>
        </w:rPr>
      </w:pPr>
      <w:r>
        <w:rPr>
          <w:rFonts w:ascii="Arial" w:hAnsi="Arial" w:cs="Arial"/>
          <w:sz w:val="20"/>
          <w:szCs w:val="20"/>
        </w:rPr>
        <w:t>- E.A.R. - tutti i rischi di montaggio:  tale polizza copre tutti i rischi connessi alla costruzione e installazione di macchinari, impianti e costruzioni in acciaio e prevede una disciplina specifica per quanto riguarda le fasi di realizzazione e collaudo di impiantistica e maggiori estensioni per la copertura di errori di progettazione e vizi di materiale o di fornitura.</w:t>
      </w:r>
    </w:p>
    <w:p w:rsidR="00B576FB" w:rsidRDefault="00B576FB" w:rsidP="00B576FB">
      <w:pPr>
        <w:autoSpaceDE w:val="0"/>
        <w:autoSpaceDN w:val="0"/>
        <w:adjustRightInd w:val="0"/>
        <w:spacing w:line="360" w:lineRule="auto"/>
        <w:ind w:left="360" w:right="92"/>
        <w:jc w:val="both"/>
        <w:rPr>
          <w:rFonts w:ascii="Arial" w:hAnsi="Arial" w:cs="Arial"/>
          <w:i/>
          <w:sz w:val="20"/>
          <w:szCs w:val="20"/>
        </w:rPr>
      </w:pPr>
      <w:r>
        <w:rPr>
          <w:rFonts w:ascii="Arial" w:hAnsi="Arial" w:cs="Arial"/>
          <w:i/>
          <w:sz w:val="20"/>
          <w:szCs w:val="20"/>
        </w:rPr>
        <w:lastRenderedPageBreak/>
        <w:t>7.3 Garanzie per diritti doganali</w:t>
      </w: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 xml:space="preserve">Tale strumento consente di ottimizzare  la gestione finanziaria dell’impresa in quanto consente di non immobilizzare risorse per sostenere i diritti doganali fornendo la possibilità di acquistare la merce in momenti economicamente convenienti e rinviare il pagamento dei diritti doganali al momento dell’effettiva messa in consumo. </w:t>
      </w: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Ne esistono due variantidiverse:</w:t>
      </w:r>
    </w:p>
    <w:p w:rsidR="00B576FB" w:rsidRDefault="00B576FB" w:rsidP="00B576FB">
      <w:pPr>
        <w:numPr>
          <w:ilvl w:val="0"/>
          <w:numId w:val="12"/>
        </w:numPr>
        <w:autoSpaceDE w:val="0"/>
        <w:autoSpaceDN w:val="0"/>
        <w:adjustRightInd w:val="0"/>
        <w:spacing w:after="0" w:line="360" w:lineRule="auto"/>
        <w:ind w:right="92"/>
        <w:jc w:val="both"/>
        <w:rPr>
          <w:rFonts w:ascii="Arial" w:hAnsi="Arial" w:cs="Arial"/>
          <w:sz w:val="20"/>
          <w:szCs w:val="20"/>
        </w:rPr>
      </w:pPr>
      <w:r>
        <w:rPr>
          <w:rFonts w:ascii="Arial" w:hAnsi="Arial" w:cs="Arial"/>
          <w:sz w:val="20"/>
          <w:szCs w:val="20"/>
        </w:rPr>
        <w:t>Garanzia Diritti doganali: utile per le imprese del settore manifatturiero, alimentare, farmaceutico e di lavorazione di materie prime che operano frequentemente con la dogana nonché per le imprese titolari di depositi doganali o merci. Le fideiussioni fornite garantiscono le importazioni temporanee, i depositi doganali e i pagamenti periodici e/o differiti nei casi di continuità delle operazioni doganali.</w:t>
      </w:r>
    </w:p>
    <w:p w:rsidR="00B576FB" w:rsidRDefault="00B576FB" w:rsidP="00B576FB">
      <w:pPr>
        <w:numPr>
          <w:ilvl w:val="0"/>
          <w:numId w:val="12"/>
        </w:numPr>
        <w:autoSpaceDE w:val="0"/>
        <w:autoSpaceDN w:val="0"/>
        <w:adjustRightInd w:val="0"/>
        <w:spacing w:after="0" w:line="360" w:lineRule="auto"/>
        <w:ind w:right="92"/>
        <w:jc w:val="both"/>
        <w:rPr>
          <w:rFonts w:ascii="Arial" w:hAnsi="Arial" w:cs="Arial"/>
          <w:sz w:val="20"/>
          <w:szCs w:val="20"/>
        </w:rPr>
      </w:pPr>
      <w:r>
        <w:rPr>
          <w:rFonts w:ascii="Arial" w:hAnsi="Arial" w:cs="Arial"/>
          <w:sz w:val="20"/>
          <w:szCs w:val="20"/>
        </w:rPr>
        <w:t>Garanzia Customs Bond: Utilizzata per importazioni/esportazioni temporanee di merci e/o macchinari nelle commesse all’estero.</w:t>
      </w:r>
    </w:p>
    <w:p w:rsidR="00B576FB" w:rsidRDefault="00B576FB" w:rsidP="00B576FB">
      <w:pPr>
        <w:autoSpaceDE w:val="0"/>
        <w:autoSpaceDN w:val="0"/>
        <w:adjustRightInd w:val="0"/>
        <w:spacing w:line="360" w:lineRule="auto"/>
        <w:ind w:right="92"/>
        <w:jc w:val="both"/>
        <w:rPr>
          <w:rFonts w:ascii="Arial" w:hAnsi="Arial" w:cs="Arial"/>
          <w:sz w:val="20"/>
          <w:szCs w:val="20"/>
        </w:rPr>
      </w:pPr>
    </w:p>
    <w:p w:rsidR="00B576FB" w:rsidRDefault="00B576FB" w:rsidP="00B576FB">
      <w:pPr>
        <w:autoSpaceDE w:val="0"/>
        <w:autoSpaceDN w:val="0"/>
        <w:adjustRightInd w:val="0"/>
        <w:spacing w:line="360" w:lineRule="auto"/>
        <w:ind w:right="92"/>
        <w:jc w:val="both"/>
        <w:rPr>
          <w:rFonts w:ascii="Arial" w:hAnsi="Arial" w:cs="Arial"/>
          <w:sz w:val="20"/>
          <w:szCs w:val="20"/>
        </w:rPr>
      </w:pPr>
    </w:p>
    <w:p w:rsidR="00B576FB" w:rsidRDefault="00B576FB" w:rsidP="00B576FB">
      <w:pPr>
        <w:autoSpaceDE w:val="0"/>
        <w:autoSpaceDN w:val="0"/>
        <w:adjustRightInd w:val="0"/>
        <w:spacing w:line="360" w:lineRule="auto"/>
        <w:ind w:left="360" w:right="92"/>
        <w:jc w:val="both"/>
        <w:rPr>
          <w:rFonts w:ascii="Arial" w:hAnsi="Arial" w:cs="Arial"/>
          <w:b/>
          <w:sz w:val="20"/>
          <w:szCs w:val="20"/>
        </w:rPr>
      </w:pPr>
      <w:r>
        <w:rPr>
          <w:rFonts w:ascii="Arial" w:hAnsi="Arial" w:cs="Arial"/>
          <w:b/>
          <w:sz w:val="20"/>
          <w:szCs w:val="20"/>
        </w:rPr>
        <w:t>8. Sace: Prodotti per migliorare le condizioni di accesso al credito bancario</w:t>
      </w:r>
    </w:p>
    <w:p w:rsidR="00B576FB" w:rsidRDefault="00B576FB" w:rsidP="00B576FB">
      <w:pPr>
        <w:autoSpaceDE w:val="0"/>
        <w:autoSpaceDN w:val="0"/>
        <w:adjustRightInd w:val="0"/>
        <w:spacing w:line="360" w:lineRule="auto"/>
        <w:ind w:left="360" w:right="92"/>
        <w:jc w:val="both"/>
        <w:rPr>
          <w:rFonts w:ascii="Arial" w:hAnsi="Arial" w:cs="Arial"/>
          <w:i/>
          <w:sz w:val="20"/>
          <w:szCs w:val="20"/>
        </w:rPr>
      </w:pPr>
      <w:r>
        <w:rPr>
          <w:rFonts w:ascii="Arial" w:hAnsi="Arial" w:cs="Arial"/>
          <w:i/>
          <w:sz w:val="20"/>
          <w:szCs w:val="20"/>
        </w:rPr>
        <w:t>8.1 Garanzia Per l’internazionalizzazione delle PMI</w:t>
      </w: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 xml:space="preserve">Dedicata ad imprese italiane, preferibilmente PMI con fatturato non superiore a 250 milioni di Euro (dimensione comunitaria) tale garanzia è un prodotto studiato ad hoc per le Piccole e Medie Imprese (PMI). </w:t>
      </w:r>
    </w:p>
    <w:p w:rsidR="00B576FB" w:rsidRDefault="00B576FB" w:rsidP="00B576FB">
      <w:pPr>
        <w:autoSpaceDE w:val="0"/>
        <w:autoSpaceDN w:val="0"/>
        <w:adjustRightInd w:val="0"/>
        <w:spacing w:line="360" w:lineRule="auto"/>
        <w:ind w:left="360" w:right="92"/>
        <w:jc w:val="both"/>
        <w:rPr>
          <w:rFonts w:ascii="Arial" w:hAnsi="Arial" w:cs="Arial"/>
          <w:sz w:val="20"/>
          <w:szCs w:val="20"/>
        </w:rPr>
      </w:pPr>
      <w:smartTag w:uri="urn:schemas-microsoft-com:office:smarttags" w:element="PersonName">
        <w:smartTagPr>
          <w:attr w:name="ProductID" w:val="la Garanzia"/>
        </w:smartTagPr>
        <w:r>
          <w:rPr>
            <w:rFonts w:ascii="Arial" w:hAnsi="Arial" w:cs="Arial"/>
            <w:sz w:val="20"/>
            <w:szCs w:val="20"/>
          </w:rPr>
          <w:t>La Garanzia</w:t>
        </w:r>
      </w:smartTag>
      <w:r>
        <w:rPr>
          <w:rFonts w:ascii="Arial" w:hAnsi="Arial" w:cs="Arial"/>
          <w:sz w:val="20"/>
          <w:szCs w:val="20"/>
        </w:rPr>
        <w:t xml:space="preserve"> per l’internazionalizzazione sostiene l’impresa  nei processi di crescita sui mercati esteri e/o per una migliore penetrazione commerciale in nuovi paesi, garantendo i finanziamenti erogati da banche convenzionate per sostenere attività progettuali direttamente e indirettamente connesse all’internazionalizzazione. La procedura di richiesta da parte delle banche convenzionate può essere attivata anche direttamente  sul portale www.exportplus.it.</w:t>
      </w: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Ai fini dell’ottenimento l’impresa deve essere attiva nei mercati esteri con investimenti diretti (Joint Venture, fusioni/acquisizioni, partnership) o indiretti, oppure interessata ad investimenti in ricerca e sviluppo, spese per il rinnovo e potenziamento degli impianti e dei macchinari, per la tutela di marchi e brevetti e, infine, anche per la partecipazione a fiere internazionali e/o spese promozionali.</w:t>
      </w: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 xml:space="preserve">Il soggetto assicurato non è l’impresa bensì la banca, sia essa italiana o estera, che procede al finanziamento dell’impresa, tutelandola dal rischio di mancato rimborso del finanziamento concesso. Non copre interamente il finanziamento bensì una percentuale massima del 70%, per una durata variabile da </w:t>
      </w:r>
      <w:smartTag w:uri="urn:schemas-microsoft-com:office:smarttags" w:element="metricconverter">
        <w:smartTagPr>
          <w:attr w:name="ProductID" w:val="3 a"/>
        </w:smartTagPr>
        <w:r>
          <w:rPr>
            <w:rFonts w:ascii="Arial" w:hAnsi="Arial" w:cs="Arial"/>
            <w:sz w:val="20"/>
            <w:szCs w:val="20"/>
          </w:rPr>
          <w:t>3 a</w:t>
        </w:r>
      </w:smartTag>
      <w:r>
        <w:rPr>
          <w:rFonts w:ascii="Arial" w:hAnsi="Arial" w:cs="Arial"/>
          <w:sz w:val="20"/>
          <w:szCs w:val="20"/>
        </w:rPr>
        <w:t xml:space="preserve"> 7 anni.</w:t>
      </w:r>
    </w:p>
    <w:p w:rsidR="00B576FB" w:rsidRDefault="00B576FB" w:rsidP="00B576FB">
      <w:pPr>
        <w:autoSpaceDE w:val="0"/>
        <w:autoSpaceDN w:val="0"/>
        <w:adjustRightInd w:val="0"/>
        <w:spacing w:line="360" w:lineRule="auto"/>
        <w:ind w:left="360" w:right="92"/>
        <w:jc w:val="both"/>
        <w:rPr>
          <w:rFonts w:ascii="Arial" w:hAnsi="Arial" w:cs="Arial"/>
          <w:i/>
          <w:sz w:val="20"/>
          <w:szCs w:val="20"/>
        </w:rPr>
      </w:pPr>
      <w:r>
        <w:rPr>
          <w:rFonts w:ascii="Arial" w:hAnsi="Arial" w:cs="Arial"/>
          <w:i/>
          <w:sz w:val="20"/>
          <w:szCs w:val="20"/>
        </w:rPr>
        <w:t>8.2 Garanzia Finanziaria sugli investimenti</w:t>
      </w: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lastRenderedPageBreak/>
        <w:t>Tale strumento Garantisce i finanziamenti erogati dalla banca (italiana o estera) all’impresa italiana ( o sue collegate estere) per investimenti all’estero, oppure per investimenti in Italia se ritenuti di rilevanza strategica per il Paese (ad es. energie rinnovabili, infrastrutture strategiche, ricerca e sviluppo). Gli investimenti devono essere effettuati attraverso la creazione di Joint Ventures, processi di fusione e acquisizione, aumenti di capitale in società estere o realizzazione di insediamenti produttivi. Come nella precedente garanzia per l’internazionalizzazione il soggetto assicurato non è l’impresa, bensì la banca, sia essa italiana o estera, che procede al finanziamento dell’impresa, tutelandola dal rischio di mancato rimborso del finanziamento concesso. La copertura della garanzia può arrivare fino all’80% del finanziamento erogato mentre la durata è pari, salvo casi particolari, alla durata del finanziamento.</w:t>
      </w:r>
    </w:p>
    <w:p w:rsidR="00B576FB" w:rsidRDefault="00B576FB" w:rsidP="00B576FB">
      <w:pPr>
        <w:autoSpaceDE w:val="0"/>
        <w:autoSpaceDN w:val="0"/>
        <w:adjustRightInd w:val="0"/>
        <w:spacing w:line="360" w:lineRule="auto"/>
        <w:ind w:left="360" w:right="92"/>
        <w:jc w:val="both"/>
        <w:rPr>
          <w:rFonts w:ascii="Arial" w:hAnsi="Arial" w:cs="Arial"/>
          <w:i/>
          <w:sz w:val="20"/>
          <w:szCs w:val="20"/>
        </w:rPr>
      </w:pPr>
      <w:r>
        <w:rPr>
          <w:rFonts w:ascii="Arial" w:hAnsi="Arial" w:cs="Arial"/>
          <w:i/>
          <w:sz w:val="20"/>
          <w:szCs w:val="20"/>
        </w:rPr>
        <w:t>8.3 Garanzia Finanziaria sul capitale circolante</w:t>
      </w: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 xml:space="preserve">Tale strumento consiste in una garanzia emessa a fronte di finanziamenti concessi all’impresa dal sistema bancario per l’approntamento di forniture destinate all’esportazione o l’esecuzione di lavori all’estero. </w:t>
      </w: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Lo strumento è dedicato ad  imprese italiane che effettuano esportazioni o eseguono lavori all’estero, sia direttamente sia tramite loro controllate o collegate estere e tutela, come nei casi precedenti,  l’ente finanziatore dal rischio correlato al mancato rimborso del finanziamento. La copertura è limitata fino ad un massimo dell’ 80% del finanziamento per una durata variabile a seconda delle esigenze della singola operazione.</w:t>
      </w:r>
    </w:p>
    <w:p w:rsidR="00B576FB" w:rsidRDefault="00B576FB" w:rsidP="00B576FB">
      <w:pPr>
        <w:autoSpaceDE w:val="0"/>
        <w:autoSpaceDN w:val="0"/>
        <w:adjustRightInd w:val="0"/>
        <w:spacing w:line="360" w:lineRule="auto"/>
        <w:ind w:left="360" w:right="92"/>
        <w:jc w:val="both"/>
        <w:rPr>
          <w:rFonts w:ascii="Arial" w:hAnsi="Arial" w:cs="Arial"/>
          <w:sz w:val="20"/>
          <w:szCs w:val="20"/>
        </w:rPr>
      </w:pPr>
    </w:p>
    <w:p w:rsidR="00B576FB" w:rsidRDefault="00B576FB" w:rsidP="00B576FB">
      <w:pPr>
        <w:autoSpaceDE w:val="0"/>
        <w:autoSpaceDN w:val="0"/>
        <w:adjustRightInd w:val="0"/>
        <w:spacing w:line="360" w:lineRule="auto"/>
        <w:ind w:left="360" w:right="92"/>
        <w:jc w:val="both"/>
        <w:rPr>
          <w:rFonts w:ascii="Arial" w:hAnsi="Arial" w:cs="Arial"/>
          <w:b/>
          <w:sz w:val="20"/>
          <w:szCs w:val="20"/>
        </w:rPr>
      </w:pPr>
      <w:r>
        <w:rPr>
          <w:rFonts w:ascii="Arial" w:hAnsi="Arial" w:cs="Arial"/>
          <w:b/>
          <w:sz w:val="20"/>
          <w:szCs w:val="20"/>
        </w:rPr>
        <w:t>9. Sace: Prodotti finalizzati alla protezione degli investimenti all’estero</w:t>
      </w:r>
    </w:p>
    <w:p w:rsidR="00B576FB" w:rsidRDefault="00B576FB" w:rsidP="00B576FB">
      <w:pPr>
        <w:autoSpaceDE w:val="0"/>
        <w:autoSpaceDN w:val="0"/>
        <w:adjustRightInd w:val="0"/>
        <w:spacing w:line="360" w:lineRule="auto"/>
        <w:ind w:left="360" w:right="92"/>
        <w:jc w:val="both"/>
        <w:rPr>
          <w:rFonts w:ascii="Arial" w:hAnsi="Arial" w:cs="Arial"/>
          <w:i/>
          <w:sz w:val="20"/>
          <w:szCs w:val="20"/>
        </w:rPr>
      </w:pPr>
      <w:r>
        <w:rPr>
          <w:rFonts w:ascii="Arial" w:hAnsi="Arial" w:cs="Arial"/>
          <w:i/>
          <w:sz w:val="20"/>
          <w:szCs w:val="20"/>
        </w:rPr>
        <w:t>9.1 PRI: Polizza Political Risk Insurance</w:t>
      </w: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 xml:space="preserve">La polizza in esame, dedicata ad Imprese italiane o banche (incluse loro partecipate o collegate estere) è uno strumento finalizzato a proteggere il capitale investito per la costituzione di società ( nelle forme di apporto di capitale, beni materiali, garanzie su prestiti) contro i rischi di natura politica quali nazionalizzazione, disordini, embarghi che causino perdite, parziali o totali, del capitale investito. Per quanto riguarda il valore invece i rischi sopradescritti possono essere assicurati fino ad un massimo di € 5 milioni e per una durata massima di 15 anni. La polizza in oggetto è disponibile anche in modalità on line al sito www.exportplus.it . </w:t>
      </w:r>
    </w:p>
    <w:p w:rsidR="00B576FB" w:rsidRDefault="00B576FB" w:rsidP="00B576FB">
      <w:pPr>
        <w:autoSpaceDE w:val="0"/>
        <w:autoSpaceDN w:val="0"/>
        <w:adjustRightInd w:val="0"/>
        <w:spacing w:line="360" w:lineRule="auto"/>
        <w:ind w:right="92"/>
        <w:jc w:val="both"/>
        <w:rPr>
          <w:rFonts w:ascii="Arial" w:hAnsi="Arial" w:cs="Arial"/>
          <w:sz w:val="20"/>
          <w:szCs w:val="20"/>
        </w:rPr>
      </w:pPr>
    </w:p>
    <w:p w:rsidR="00B576FB" w:rsidRDefault="00B576FB" w:rsidP="00B576FB">
      <w:pPr>
        <w:autoSpaceDE w:val="0"/>
        <w:autoSpaceDN w:val="0"/>
        <w:adjustRightInd w:val="0"/>
        <w:spacing w:line="360" w:lineRule="auto"/>
        <w:ind w:left="360" w:right="92"/>
        <w:jc w:val="both"/>
        <w:rPr>
          <w:rFonts w:ascii="Arial" w:hAnsi="Arial" w:cs="Arial"/>
          <w:b/>
          <w:sz w:val="20"/>
          <w:szCs w:val="20"/>
        </w:rPr>
      </w:pPr>
      <w:r>
        <w:rPr>
          <w:rFonts w:ascii="Arial" w:hAnsi="Arial" w:cs="Arial"/>
          <w:b/>
          <w:sz w:val="20"/>
          <w:szCs w:val="20"/>
        </w:rPr>
        <w:t>10. Sace: Prodotti per migliorare la liquidità aziendale</w:t>
      </w:r>
    </w:p>
    <w:p w:rsidR="00B576FB" w:rsidRDefault="00B576FB" w:rsidP="00B576FB">
      <w:pPr>
        <w:autoSpaceDE w:val="0"/>
        <w:autoSpaceDN w:val="0"/>
        <w:adjustRightInd w:val="0"/>
        <w:spacing w:line="360" w:lineRule="auto"/>
        <w:ind w:left="360" w:right="92"/>
        <w:jc w:val="both"/>
        <w:rPr>
          <w:rFonts w:ascii="Arial" w:hAnsi="Arial" w:cs="Arial"/>
          <w:i/>
          <w:sz w:val="20"/>
          <w:szCs w:val="20"/>
        </w:rPr>
      </w:pPr>
      <w:r>
        <w:rPr>
          <w:rFonts w:ascii="Arial" w:hAnsi="Arial" w:cs="Arial"/>
          <w:i/>
          <w:sz w:val="20"/>
          <w:szCs w:val="20"/>
        </w:rPr>
        <w:t>10.1 I servizi di Sace Fct.</w:t>
      </w: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 xml:space="preserve">In un contesto quale quello attuale, ove la diminuzione dell’erogazione del credito bancario è ormai una costante, </w:t>
      </w:r>
      <w:smartTag w:uri="urn:schemas-microsoft-com:office:smarttags" w:element="PersonName">
        <w:smartTagPr>
          <w:attr w:name="ProductID" w:val="La Sace"/>
        </w:smartTagPr>
        <w:r>
          <w:rPr>
            <w:rFonts w:ascii="Arial" w:hAnsi="Arial" w:cs="Arial"/>
            <w:sz w:val="20"/>
            <w:szCs w:val="20"/>
          </w:rPr>
          <w:t>la Sace</w:t>
        </w:r>
      </w:smartTag>
      <w:r>
        <w:rPr>
          <w:rFonts w:ascii="Arial" w:hAnsi="Arial" w:cs="Arial"/>
          <w:sz w:val="20"/>
          <w:szCs w:val="20"/>
        </w:rPr>
        <w:t xml:space="preserve"> ha provveduto, attraverso la creazione di Sace Fct, ad implementare una serie di servizi di factoring per favorire l’esigenza di liquidità delle imprese.</w:t>
      </w: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lastRenderedPageBreak/>
        <w:t>I servizi offerti riguardano i comuni servizi di factoring reperibili sul mercato, tra i quali il factoring pro solvendo, il factoring pro soluto, il maturity factoring. Per i summenzionati prodotti, oltre a richiamare quanto contenuto nell’apposito capitolo dedicato al contratto di factoring, si invita a consultare il sito internet dedicato della Sace per i dettagli.</w:t>
      </w:r>
    </w:p>
    <w:p w:rsidR="00B576FB" w:rsidRDefault="00B576FB" w:rsidP="00B576FB">
      <w:pPr>
        <w:autoSpaceDE w:val="0"/>
        <w:autoSpaceDN w:val="0"/>
        <w:adjustRightInd w:val="0"/>
        <w:spacing w:line="360" w:lineRule="auto"/>
        <w:ind w:left="360" w:right="92"/>
        <w:jc w:val="both"/>
        <w:rPr>
          <w:rFonts w:ascii="Arial" w:hAnsi="Arial" w:cs="Arial"/>
          <w:sz w:val="20"/>
          <w:szCs w:val="20"/>
        </w:rPr>
      </w:pPr>
      <w:r>
        <w:rPr>
          <w:rFonts w:ascii="Arial" w:hAnsi="Arial" w:cs="Arial"/>
          <w:sz w:val="20"/>
          <w:szCs w:val="20"/>
        </w:rPr>
        <w:t xml:space="preserve">Particolare menzione merita invece il recente prodotto di Sace Fct denominato Reverse factoring, finalizzato ad agevolare il sistema dei pagamenti tra </w:t>
      </w:r>
      <w:smartTag w:uri="urn:schemas-microsoft-com:office:smarttags" w:element="PersonName">
        <w:smartTagPr>
          <w:attr w:name="ProductID" w:val="la Pubblica Amministrazione"/>
        </w:smartTagPr>
        <w:r>
          <w:rPr>
            <w:rFonts w:ascii="Arial" w:hAnsi="Arial" w:cs="Arial"/>
            <w:sz w:val="20"/>
            <w:szCs w:val="20"/>
          </w:rPr>
          <w:t>la Pubblica Amministrazione</w:t>
        </w:r>
      </w:smartTag>
      <w:r>
        <w:rPr>
          <w:rFonts w:ascii="Arial" w:hAnsi="Arial" w:cs="Arial"/>
          <w:sz w:val="20"/>
          <w:szCs w:val="20"/>
        </w:rPr>
        <w:t xml:space="preserve"> e le imprese fornitrici. </w:t>
      </w:r>
    </w:p>
    <w:p w:rsidR="00B576FB" w:rsidRDefault="00B576FB" w:rsidP="00B576FB">
      <w:pPr>
        <w:autoSpaceDE w:val="0"/>
        <w:autoSpaceDN w:val="0"/>
        <w:adjustRightInd w:val="0"/>
        <w:ind w:right="92"/>
        <w:rPr>
          <w:rFonts w:ascii="Arial" w:hAnsi="Arial" w:cs="Arial"/>
          <w:sz w:val="20"/>
          <w:szCs w:val="20"/>
        </w:rPr>
      </w:pPr>
    </w:p>
    <w:p w:rsidR="00B576FB" w:rsidRDefault="00B576FB" w:rsidP="00B576FB">
      <w:pPr>
        <w:ind w:left="360" w:right="92"/>
        <w:rPr>
          <w:rFonts w:ascii="Arial" w:hAnsi="Arial" w:cs="Arial"/>
          <w:sz w:val="20"/>
          <w:szCs w:val="20"/>
        </w:rPr>
      </w:pPr>
    </w:p>
    <w:p w:rsidR="00B576FB" w:rsidRDefault="00B576FB" w:rsidP="00B576FB">
      <w:pPr>
        <w:tabs>
          <w:tab w:val="left" w:pos="9180"/>
        </w:tabs>
        <w:autoSpaceDE w:val="0"/>
        <w:autoSpaceDN w:val="0"/>
        <w:adjustRightInd w:val="0"/>
        <w:spacing w:line="360" w:lineRule="auto"/>
        <w:ind w:right="-82"/>
        <w:jc w:val="both"/>
        <w:rPr>
          <w:rFonts w:ascii="Arial" w:hAnsi="Arial" w:cs="Arial"/>
          <w:sz w:val="20"/>
          <w:szCs w:val="20"/>
        </w:rPr>
      </w:pPr>
    </w:p>
    <w:sectPr w:rsidR="00B576FB" w:rsidSect="00D641B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2409C"/>
    <w:multiLevelType w:val="hybridMultilevel"/>
    <w:tmpl w:val="A88461E2"/>
    <w:lvl w:ilvl="0" w:tplc="0410000F">
      <w:start w:val="1"/>
      <w:numFmt w:val="decimal"/>
      <w:lvlText w:val="%1."/>
      <w:lvlJc w:val="left"/>
      <w:pPr>
        <w:tabs>
          <w:tab w:val="num" w:pos="720"/>
        </w:tabs>
        <w:ind w:left="720" w:hanging="360"/>
      </w:pPr>
      <w:rPr>
        <w:rFonts w:cs="Times New Roman"/>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
    <w:nsid w:val="088F1887"/>
    <w:multiLevelType w:val="hybridMultilevel"/>
    <w:tmpl w:val="6728FC0C"/>
    <w:lvl w:ilvl="0" w:tplc="04100001">
      <w:start w:val="1"/>
      <w:numFmt w:val="bullet"/>
      <w:lvlText w:val=""/>
      <w:lvlJc w:val="left"/>
      <w:pPr>
        <w:tabs>
          <w:tab w:val="num" w:pos="1080"/>
        </w:tabs>
        <w:ind w:left="1080" w:hanging="360"/>
      </w:pPr>
      <w:rPr>
        <w:rFonts w:ascii="Symbol" w:hAnsi="Symbol" w:hint="default"/>
      </w:rPr>
    </w:lvl>
    <w:lvl w:ilvl="1" w:tplc="04100003">
      <w:start w:val="1"/>
      <w:numFmt w:val="bullet"/>
      <w:lvlText w:val="o"/>
      <w:lvlJc w:val="left"/>
      <w:pPr>
        <w:tabs>
          <w:tab w:val="num" w:pos="1800"/>
        </w:tabs>
        <w:ind w:left="1800" w:hanging="360"/>
      </w:pPr>
      <w:rPr>
        <w:rFonts w:ascii="Courier New" w:hAnsi="Courier New" w:cs="Times New Roman" w:hint="default"/>
      </w:r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Times New Roman"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Times New Roman"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2">
    <w:nsid w:val="0C9F5C03"/>
    <w:multiLevelType w:val="hybridMultilevel"/>
    <w:tmpl w:val="49C0E156"/>
    <w:lvl w:ilvl="0" w:tplc="04100001">
      <w:start w:val="1"/>
      <w:numFmt w:val="bullet"/>
      <w:lvlText w:val=""/>
      <w:lvlJc w:val="left"/>
      <w:pPr>
        <w:tabs>
          <w:tab w:val="num" w:pos="1080"/>
        </w:tabs>
        <w:ind w:left="1080" w:hanging="360"/>
      </w:pPr>
      <w:rPr>
        <w:rFonts w:ascii="Symbol" w:hAnsi="Symbol" w:hint="default"/>
      </w:rPr>
    </w:lvl>
    <w:lvl w:ilvl="1" w:tplc="04100003">
      <w:start w:val="1"/>
      <w:numFmt w:val="bullet"/>
      <w:lvlText w:val="o"/>
      <w:lvlJc w:val="left"/>
      <w:pPr>
        <w:tabs>
          <w:tab w:val="num" w:pos="1800"/>
        </w:tabs>
        <w:ind w:left="1800" w:hanging="360"/>
      </w:pPr>
      <w:rPr>
        <w:rFonts w:ascii="Courier New" w:hAnsi="Courier New" w:cs="Times New Roman" w:hint="default"/>
      </w:r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Times New Roman"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Times New Roman"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3">
    <w:nsid w:val="213F208E"/>
    <w:multiLevelType w:val="hybridMultilevel"/>
    <w:tmpl w:val="8242A974"/>
    <w:lvl w:ilvl="0" w:tplc="6FE074DC">
      <w:start w:val="6"/>
      <w:numFmt w:val="bullet"/>
      <w:lvlText w:val="-"/>
      <w:lvlJc w:val="left"/>
      <w:pPr>
        <w:tabs>
          <w:tab w:val="num" w:pos="720"/>
        </w:tabs>
        <w:ind w:left="720" w:hanging="360"/>
      </w:pPr>
      <w:rPr>
        <w:rFonts w:ascii="Times New Roman" w:eastAsia="Times New Roman" w:hAnsi="Times New Roman" w:cs="Times New Roman" w:hint="default"/>
      </w:rPr>
    </w:lvl>
    <w:lvl w:ilvl="1" w:tplc="04100003">
      <w:start w:val="1"/>
      <w:numFmt w:val="bullet"/>
      <w:lvlText w:val="o"/>
      <w:lvlJc w:val="left"/>
      <w:pPr>
        <w:tabs>
          <w:tab w:val="num" w:pos="1440"/>
        </w:tabs>
        <w:ind w:left="1440" w:hanging="360"/>
      </w:pPr>
      <w:rPr>
        <w:rFonts w:ascii="Courier New" w:hAnsi="Courier New" w:cs="Times New Roman"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Times New Roman"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Times New Roman"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4">
    <w:nsid w:val="27575C07"/>
    <w:multiLevelType w:val="hybridMultilevel"/>
    <w:tmpl w:val="902C7FD0"/>
    <w:lvl w:ilvl="0" w:tplc="04100001">
      <w:start w:val="1"/>
      <w:numFmt w:val="bullet"/>
      <w:lvlText w:val=""/>
      <w:lvlJc w:val="left"/>
      <w:pPr>
        <w:tabs>
          <w:tab w:val="num" w:pos="1080"/>
        </w:tabs>
        <w:ind w:left="1080" w:hanging="360"/>
      </w:pPr>
      <w:rPr>
        <w:rFonts w:ascii="Symbol" w:hAnsi="Symbol" w:hint="default"/>
      </w:rPr>
    </w:lvl>
    <w:lvl w:ilvl="1" w:tplc="04100003">
      <w:start w:val="1"/>
      <w:numFmt w:val="bullet"/>
      <w:lvlText w:val="o"/>
      <w:lvlJc w:val="left"/>
      <w:pPr>
        <w:tabs>
          <w:tab w:val="num" w:pos="1800"/>
        </w:tabs>
        <w:ind w:left="1800" w:hanging="360"/>
      </w:pPr>
      <w:rPr>
        <w:rFonts w:ascii="Courier New" w:hAnsi="Courier New" w:cs="Times New Roman" w:hint="default"/>
      </w:r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Times New Roman"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Times New Roman"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5">
    <w:nsid w:val="3198464B"/>
    <w:multiLevelType w:val="hybridMultilevel"/>
    <w:tmpl w:val="C55CF5BC"/>
    <w:lvl w:ilvl="0" w:tplc="04100001">
      <w:start w:val="1"/>
      <w:numFmt w:val="bullet"/>
      <w:lvlText w:val=""/>
      <w:lvlJc w:val="left"/>
      <w:pPr>
        <w:tabs>
          <w:tab w:val="num" w:pos="1080"/>
        </w:tabs>
        <w:ind w:left="1080" w:hanging="360"/>
      </w:pPr>
      <w:rPr>
        <w:rFonts w:ascii="Symbol" w:hAnsi="Symbol" w:hint="default"/>
      </w:rPr>
    </w:lvl>
    <w:lvl w:ilvl="1" w:tplc="04100003">
      <w:start w:val="1"/>
      <w:numFmt w:val="bullet"/>
      <w:lvlText w:val="o"/>
      <w:lvlJc w:val="left"/>
      <w:pPr>
        <w:tabs>
          <w:tab w:val="num" w:pos="1800"/>
        </w:tabs>
        <w:ind w:left="1800" w:hanging="360"/>
      </w:pPr>
      <w:rPr>
        <w:rFonts w:ascii="Courier New" w:hAnsi="Courier New" w:cs="Times New Roman" w:hint="default"/>
      </w:r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Times New Roman"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Times New Roman"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6">
    <w:nsid w:val="4B95657A"/>
    <w:multiLevelType w:val="hybridMultilevel"/>
    <w:tmpl w:val="7244F8A0"/>
    <w:lvl w:ilvl="0" w:tplc="04100001">
      <w:start w:val="1"/>
      <w:numFmt w:val="bullet"/>
      <w:lvlText w:val=""/>
      <w:lvlJc w:val="left"/>
      <w:pPr>
        <w:tabs>
          <w:tab w:val="num" w:pos="1068"/>
        </w:tabs>
        <w:ind w:left="1068" w:hanging="360"/>
      </w:pPr>
      <w:rPr>
        <w:rFonts w:ascii="Symbol" w:hAnsi="Symbol" w:hint="default"/>
      </w:rPr>
    </w:lvl>
    <w:lvl w:ilvl="1" w:tplc="04100003">
      <w:start w:val="1"/>
      <w:numFmt w:val="bullet"/>
      <w:lvlText w:val="o"/>
      <w:lvlJc w:val="left"/>
      <w:pPr>
        <w:tabs>
          <w:tab w:val="num" w:pos="1788"/>
        </w:tabs>
        <w:ind w:left="1788" w:hanging="360"/>
      </w:pPr>
      <w:rPr>
        <w:rFonts w:ascii="Courier New" w:hAnsi="Courier New" w:cs="Times New Roman" w:hint="default"/>
      </w:rPr>
    </w:lvl>
    <w:lvl w:ilvl="2" w:tplc="04100005">
      <w:start w:val="1"/>
      <w:numFmt w:val="bullet"/>
      <w:lvlText w:val=""/>
      <w:lvlJc w:val="left"/>
      <w:pPr>
        <w:tabs>
          <w:tab w:val="num" w:pos="2508"/>
        </w:tabs>
        <w:ind w:left="2508" w:hanging="360"/>
      </w:pPr>
      <w:rPr>
        <w:rFonts w:ascii="Wingdings" w:hAnsi="Wingdings" w:hint="default"/>
      </w:rPr>
    </w:lvl>
    <w:lvl w:ilvl="3" w:tplc="04100001">
      <w:start w:val="1"/>
      <w:numFmt w:val="bullet"/>
      <w:lvlText w:val=""/>
      <w:lvlJc w:val="left"/>
      <w:pPr>
        <w:tabs>
          <w:tab w:val="num" w:pos="3228"/>
        </w:tabs>
        <w:ind w:left="3228" w:hanging="360"/>
      </w:pPr>
      <w:rPr>
        <w:rFonts w:ascii="Symbol" w:hAnsi="Symbol" w:hint="default"/>
      </w:rPr>
    </w:lvl>
    <w:lvl w:ilvl="4" w:tplc="04100003">
      <w:start w:val="1"/>
      <w:numFmt w:val="bullet"/>
      <w:lvlText w:val="o"/>
      <w:lvlJc w:val="left"/>
      <w:pPr>
        <w:tabs>
          <w:tab w:val="num" w:pos="3948"/>
        </w:tabs>
        <w:ind w:left="3948" w:hanging="360"/>
      </w:pPr>
      <w:rPr>
        <w:rFonts w:ascii="Courier New" w:hAnsi="Courier New" w:cs="Times New Roman" w:hint="default"/>
      </w:rPr>
    </w:lvl>
    <w:lvl w:ilvl="5" w:tplc="04100005">
      <w:start w:val="1"/>
      <w:numFmt w:val="bullet"/>
      <w:lvlText w:val=""/>
      <w:lvlJc w:val="left"/>
      <w:pPr>
        <w:tabs>
          <w:tab w:val="num" w:pos="4668"/>
        </w:tabs>
        <w:ind w:left="4668" w:hanging="360"/>
      </w:pPr>
      <w:rPr>
        <w:rFonts w:ascii="Wingdings" w:hAnsi="Wingdings" w:hint="default"/>
      </w:rPr>
    </w:lvl>
    <w:lvl w:ilvl="6" w:tplc="04100001">
      <w:start w:val="1"/>
      <w:numFmt w:val="bullet"/>
      <w:lvlText w:val=""/>
      <w:lvlJc w:val="left"/>
      <w:pPr>
        <w:tabs>
          <w:tab w:val="num" w:pos="5388"/>
        </w:tabs>
        <w:ind w:left="5388" w:hanging="360"/>
      </w:pPr>
      <w:rPr>
        <w:rFonts w:ascii="Symbol" w:hAnsi="Symbol" w:hint="default"/>
      </w:rPr>
    </w:lvl>
    <w:lvl w:ilvl="7" w:tplc="04100003">
      <w:start w:val="1"/>
      <w:numFmt w:val="bullet"/>
      <w:lvlText w:val="o"/>
      <w:lvlJc w:val="left"/>
      <w:pPr>
        <w:tabs>
          <w:tab w:val="num" w:pos="6108"/>
        </w:tabs>
        <w:ind w:left="6108" w:hanging="360"/>
      </w:pPr>
      <w:rPr>
        <w:rFonts w:ascii="Courier New" w:hAnsi="Courier New" w:cs="Times New Roman" w:hint="default"/>
      </w:rPr>
    </w:lvl>
    <w:lvl w:ilvl="8" w:tplc="04100005">
      <w:start w:val="1"/>
      <w:numFmt w:val="bullet"/>
      <w:lvlText w:val=""/>
      <w:lvlJc w:val="left"/>
      <w:pPr>
        <w:tabs>
          <w:tab w:val="num" w:pos="6828"/>
        </w:tabs>
        <w:ind w:left="6828" w:hanging="360"/>
      </w:pPr>
      <w:rPr>
        <w:rFonts w:ascii="Wingdings" w:hAnsi="Wingdings" w:hint="default"/>
      </w:rPr>
    </w:lvl>
  </w:abstractNum>
  <w:abstractNum w:abstractNumId="7">
    <w:nsid w:val="4EF667CE"/>
    <w:multiLevelType w:val="hybridMultilevel"/>
    <w:tmpl w:val="0A7216E6"/>
    <w:lvl w:ilvl="0" w:tplc="04100001">
      <w:start w:val="1"/>
      <w:numFmt w:val="bullet"/>
      <w:lvlText w:val=""/>
      <w:lvlJc w:val="left"/>
      <w:pPr>
        <w:tabs>
          <w:tab w:val="num" w:pos="1068"/>
        </w:tabs>
        <w:ind w:left="1068" w:hanging="360"/>
      </w:pPr>
      <w:rPr>
        <w:rFonts w:ascii="Symbol" w:hAnsi="Symbol" w:hint="default"/>
      </w:rPr>
    </w:lvl>
    <w:lvl w:ilvl="1" w:tplc="04100003">
      <w:start w:val="1"/>
      <w:numFmt w:val="bullet"/>
      <w:lvlText w:val="o"/>
      <w:lvlJc w:val="left"/>
      <w:pPr>
        <w:tabs>
          <w:tab w:val="num" w:pos="1788"/>
        </w:tabs>
        <w:ind w:left="1788" w:hanging="360"/>
      </w:pPr>
      <w:rPr>
        <w:rFonts w:ascii="Courier New" w:hAnsi="Courier New" w:cs="Courier New" w:hint="default"/>
      </w:rPr>
    </w:lvl>
    <w:lvl w:ilvl="2" w:tplc="04100005">
      <w:start w:val="1"/>
      <w:numFmt w:val="bullet"/>
      <w:lvlText w:val=""/>
      <w:lvlJc w:val="left"/>
      <w:pPr>
        <w:tabs>
          <w:tab w:val="num" w:pos="2508"/>
        </w:tabs>
        <w:ind w:left="2508" w:hanging="360"/>
      </w:pPr>
      <w:rPr>
        <w:rFonts w:ascii="Wingdings" w:hAnsi="Wingdings" w:hint="default"/>
      </w:rPr>
    </w:lvl>
    <w:lvl w:ilvl="3" w:tplc="04100001">
      <w:start w:val="1"/>
      <w:numFmt w:val="bullet"/>
      <w:lvlText w:val=""/>
      <w:lvlJc w:val="left"/>
      <w:pPr>
        <w:tabs>
          <w:tab w:val="num" w:pos="3228"/>
        </w:tabs>
        <w:ind w:left="3228" w:hanging="360"/>
      </w:pPr>
      <w:rPr>
        <w:rFonts w:ascii="Symbol" w:hAnsi="Symbol" w:hint="default"/>
      </w:rPr>
    </w:lvl>
    <w:lvl w:ilvl="4" w:tplc="04100003">
      <w:start w:val="1"/>
      <w:numFmt w:val="bullet"/>
      <w:lvlText w:val="o"/>
      <w:lvlJc w:val="left"/>
      <w:pPr>
        <w:tabs>
          <w:tab w:val="num" w:pos="3948"/>
        </w:tabs>
        <w:ind w:left="3948" w:hanging="360"/>
      </w:pPr>
      <w:rPr>
        <w:rFonts w:ascii="Courier New" w:hAnsi="Courier New" w:cs="Courier New" w:hint="default"/>
      </w:rPr>
    </w:lvl>
    <w:lvl w:ilvl="5" w:tplc="04100005">
      <w:start w:val="1"/>
      <w:numFmt w:val="bullet"/>
      <w:lvlText w:val=""/>
      <w:lvlJc w:val="left"/>
      <w:pPr>
        <w:tabs>
          <w:tab w:val="num" w:pos="4668"/>
        </w:tabs>
        <w:ind w:left="4668" w:hanging="360"/>
      </w:pPr>
      <w:rPr>
        <w:rFonts w:ascii="Wingdings" w:hAnsi="Wingdings" w:hint="default"/>
      </w:rPr>
    </w:lvl>
    <w:lvl w:ilvl="6" w:tplc="04100001">
      <w:start w:val="1"/>
      <w:numFmt w:val="bullet"/>
      <w:lvlText w:val=""/>
      <w:lvlJc w:val="left"/>
      <w:pPr>
        <w:tabs>
          <w:tab w:val="num" w:pos="5388"/>
        </w:tabs>
        <w:ind w:left="5388" w:hanging="360"/>
      </w:pPr>
      <w:rPr>
        <w:rFonts w:ascii="Symbol" w:hAnsi="Symbol" w:hint="default"/>
      </w:rPr>
    </w:lvl>
    <w:lvl w:ilvl="7" w:tplc="04100003">
      <w:start w:val="1"/>
      <w:numFmt w:val="bullet"/>
      <w:lvlText w:val="o"/>
      <w:lvlJc w:val="left"/>
      <w:pPr>
        <w:tabs>
          <w:tab w:val="num" w:pos="6108"/>
        </w:tabs>
        <w:ind w:left="6108" w:hanging="360"/>
      </w:pPr>
      <w:rPr>
        <w:rFonts w:ascii="Courier New" w:hAnsi="Courier New" w:cs="Courier New" w:hint="default"/>
      </w:rPr>
    </w:lvl>
    <w:lvl w:ilvl="8" w:tplc="04100005">
      <w:start w:val="1"/>
      <w:numFmt w:val="bullet"/>
      <w:lvlText w:val=""/>
      <w:lvlJc w:val="left"/>
      <w:pPr>
        <w:tabs>
          <w:tab w:val="num" w:pos="6828"/>
        </w:tabs>
        <w:ind w:left="6828" w:hanging="360"/>
      </w:pPr>
      <w:rPr>
        <w:rFonts w:ascii="Wingdings" w:hAnsi="Wingdings" w:hint="default"/>
      </w:rPr>
    </w:lvl>
  </w:abstractNum>
  <w:abstractNum w:abstractNumId="8">
    <w:nsid w:val="51A2732E"/>
    <w:multiLevelType w:val="hybridMultilevel"/>
    <w:tmpl w:val="F5846EAC"/>
    <w:lvl w:ilvl="0" w:tplc="04100001">
      <w:start w:val="1"/>
      <w:numFmt w:val="bullet"/>
      <w:lvlText w:val=""/>
      <w:lvlJc w:val="left"/>
      <w:pPr>
        <w:tabs>
          <w:tab w:val="num" w:pos="1080"/>
        </w:tabs>
        <w:ind w:left="1080" w:hanging="360"/>
      </w:pPr>
      <w:rPr>
        <w:rFonts w:ascii="Symbol" w:hAnsi="Symbol" w:hint="default"/>
      </w:rPr>
    </w:lvl>
    <w:lvl w:ilvl="1" w:tplc="04100003">
      <w:start w:val="1"/>
      <w:numFmt w:val="bullet"/>
      <w:lvlText w:val="o"/>
      <w:lvlJc w:val="left"/>
      <w:pPr>
        <w:tabs>
          <w:tab w:val="num" w:pos="1800"/>
        </w:tabs>
        <w:ind w:left="1800" w:hanging="360"/>
      </w:pPr>
      <w:rPr>
        <w:rFonts w:ascii="Courier New" w:hAnsi="Courier New" w:cs="Times New Roman" w:hint="default"/>
      </w:r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Times New Roman"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Times New Roman"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9">
    <w:nsid w:val="5A9D1087"/>
    <w:multiLevelType w:val="hybridMultilevel"/>
    <w:tmpl w:val="8E9ED318"/>
    <w:lvl w:ilvl="0" w:tplc="6FE074DC">
      <w:start w:val="6"/>
      <w:numFmt w:val="bullet"/>
      <w:lvlText w:val="-"/>
      <w:lvlJc w:val="left"/>
      <w:pPr>
        <w:tabs>
          <w:tab w:val="num" w:pos="1080"/>
        </w:tabs>
        <w:ind w:left="1080" w:hanging="360"/>
      </w:pPr>
      <w:rPr>
        <w:rFonts w:ascii="Times New Roman" w:eastAsia="Times New Roman" w:hAnsi="Times New Roman" w:cs="Times New Roman" w:hint="default"/>
      </w:rPr>
    </w:lvl>
    <w:lvl w:ilvl="1" w:tplc="04100003">
      <w:start w:val="1"/>
      <w:numFmt w:val="bullet"/>
      <w:lvlText w:val="o"/>
      <w:lvlJc w:val="left"/>
      <w:pPr>
        <w:tabs>
          <w:tab w:val="num" w:pos="1800"/>
        </w:tabs>
        <w:ind w:left="1800" w:hanging="360"/>
      </w:pPr>
      <w:rPr>
        <w:rFonts w:ascii="Courier New" w:hAnsi="Courier New" w:cs="Times New Roman" w:hint="default"/>
      </w:r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Times New Roman"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Times New Roman"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10">
    <w:nsid w:val="5D6B13E3"/>
    <w:multiLevelType w:val="hybridMultilevel"/>
    <w:tmpl w:val="44A26EFE"/>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Times New Roman"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Times New Roman"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Times New Roman"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1">
    <w:nsid w:val="6E7A0A88"/>
    <w:multiLevelType w:val="hybridMultilevel"/>
    <w:tmpl w:val="7FB47F5C"/>
    <w:lvl w:ilvl="0" w:tplc="04100001">
      <w:start w:val="1"/>
      <w:numFmt w:val="bullet"/>
      <w:lvlText w:val=""/>
      <w:lvlJc w:val="left"/>
      <w:pPr>
        <w:tabs>
          <w:tab w:val="num" w:pos="1068"/>
        </w:tabs>
        <w:ind w:left="1068" w:hanging="360"/>
      </w:pPr>
      <w:rPr>
        <w:rFonts w:ascii="Symbol" w:hAnsi="Symbol" w:hint="default"/>
      </w:rPr>
    </w:lvl>
    <w:lvl w:ilvl="1" w:tplc="04100003">
      <w:start w:val="1"/>
      <w:numFmt w:val="bullet"/>
      <w:lvlText w:val="o"/>
      <w:lvlJc w:val="left"/>
      <w:pPr>
        <w:tabs>
          <w:tab w:val="num" w:pos="1788"/>
        </w:tabs>
        <w:ind w:left="1788" w:hanging="360"/>
      </w:pPr>
      <w:rPr>
        <w:rFonts w:ascii="Courier New" w:hAnsi="Courier New" w:cs="Courier New" w:hint="default"/>
      </w:rPr>
    </w:lvl>
    <w:lvl w:ilvl="2" w:tplc="04100005">
      <w:start w:val="1"/>
      <w:numFmt w:val="bullet"/>
      <w:lvlText w:val=""/>
      <w:lvlJc w:val="left"/>
      <w:pPr>
        <w:tabs>
          <w:tab w:val="num" w:pos="2508"/>
        </w:tabs>
        <w:ind w:left="2508" w:hanging="360"/>
      </w:pPr>
      <w:rPr>
        <w:rFonts w:ascii="Wingdings" w:hAnsi="Wingdings" w:hint="default"/>
      </w:rPr>
    </w:lvl>
    <w:lvl w:ilvl="3" w:tplc="04100001">
      <w:start w:val="1"/>
      <w:numFmt w:val="bullet"/>
      <w:lvlText w:val=""/>
      <w:lvlJc w:val="left"/>
      <w:pPr>
        <w:tabs>
          <w:tab w:val="num" w:pos="3228"/>
        </w:tabs>
        <w:ind w:left="3228" w:hanging="360"/>
      </w:pPr>
      <w:rPr>
        <w:rFonts w:ascii="Symbol" w:hAnsi="Symbol" w:hint="default"/>
      </w:rPr>
    </w:lvl>
    <w:lvl w:ilvl="4" w:tplc="04100003">
      <w:start w:val="1"/>
      <w:numFmt w:val="bullet"/>
      <w:lvlText w:val="o"/>
      <w:lvlJc w:val="left"/>
      <w:pPr>
        <w:tabs>
          <w:tab w:val="num" w:pos="3948"/>
        </w:tabs>
        <w:ind w:left="3948" w:hanging="360"/>
      </w:pPr>
      <w:rPr>
        <w:rFonts w:ascii="Courier New" w:hAnsi="Courier New" w:cs="Courier New" w:hint="default"/>
      </w:rPr>
    </w:lvl>
    <w:lvl w:ilvl="5" w:tplc="04100005">
      <w:start w:val="1"/>
      <w:numFmt w:val="bullet"/>
      <w:lvlText w:val=""/>
      <w:lvlJc w:val="left"/>
      <w:pPr>
        <w:tabs>
          <w:tab w:val="num" w:pos="4668"/>
        </w:tabs>
        <w:ind w:left="4668" w:hanging="360"/>
      </w:pPr>
      <w:rPr>
        <w:rFonts w:ascii="Wingdings" w:hAnsi="Wingdings" w:hint="default"/>
      </w:rPr>
    </w:lvl>
    <w:lvl w:ilvl="6" w:tplc="04100001">
      <w:start w:val="1"/>
      <w:numFmt w:val="bullet"/>
      <w:lvlText w:val=""/>
      <w:lvlJc w:val="left"/>
      <w:pPr>
        <w:tabs>
          <w:tab w:val="num" w:pos="5388"/>
        </w:tabs>
        <w:ind w:left="5388" w:hanging="360"/>
      </w:pPr>
      <w:rPr>
        <w:rFonts w:ascii="Symbol" w:hAnsi="Symbol" w:hint="default"/>
      </w:rPr>
    </w:lvl>
    <w:lvl w:ilvl="7" w:tplc="04100003">
      <w:start w:val="1"/>
      <w:numFmt w:val="bullet"/>
      <w:lvlText w:val="o"/>
      <w:lvlJc w:val="left"/>
      <w:pPr>
        <w:tabs>
          <w:tab w:val="num" w:pos="6108"/>
        </w:tabs>
        <w:ind w:left="6108" w:hanging="360"/>
      </w:pPr>
      <w:rPr>
        <w:rFonts w:ascii="Courier New" w:hAnsi="Courier New" w:cs="Courier New" w:hint="default"/>
      </w:rPr>
    </w:lvl>
    <w:lvl w:ilvl="8" w:tplc="04100005">
      <w:start w:val="1"/>
      <w:numFmt w:val="bullet"/>
      <w:lvlText w:val=""/>
      <w:lvlJc w:val="left"/>
      <w:pPr>
        <w:tabs>
          <w:tab w:val="num" w:pos="6828"/>
        </w:tabs>
        <w:ind w:left="6828" w:hanging="360"/>
      </w:pPr>
      <w:rPr>
        <w:rFonts w:ascii="Wingdings" w:hAnsi="Wingdings" w:hint="default"/>
      </w:rPr>
    </w:lvl>
  </w:abstractNum>
  <w:abstractNum w:abstractNumId="12">
    <w:nsid w:val="776076C2"/>
    <w:multiLevelType w:val="hybridMultilevel"/>
    <w:tmpl w:val="93B8A53A"/>
    <w:lvl w:ilvl="0" w:tplc="04100001">
      <w:start w:val="1"/>
      <w:numFmt w:val="bullet"/>
      <w:lvlText w:val=""/>
      <w:lvlJc w:val="left"/>
      <w:pPr>
        <w:tabs>
          <w:tab w:val="num" w:pos="1080"/>
        </w:tabs>
        <w:ind w:left="1080" w:hanging="360"/>
      </w:pPr>
      <w:rPr>
        <w:rFonts w:ascii="Symbol" w:hAnsi="Symbol" w:hint="default"/>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5"/>
  </w:num>
  <w:num w:numId="4">
    <w:abstractNumId w:val="11"/>
  </w:num>
  <w:num w:numId="5">
    <w:abstractNumId w:val="1"/>
  </w:num>
  <w:num w:numId="6">
    <w:abstractNumId w:val="8"/>
  </w:num>
  <w:num w:numId="7">
    <w:abstractNumId w:val="2"/>
  </w:num>
  <w:num w:numId="8">
    <w:abstractNumId w:val="10"/>
  </w:num>
  <w:num w:numId="9">
    <w:abstractNumId w:val="6"/>
  </w:num>
  <w:num w:numId="10">
    <w:abstractNumId w:val="4"/>
  </w:num>
  <w:num w:numId="11">
    <w:abstractNumId w:val="3"/>
  </w:num>
  <w:num w:numId="12">
    <w:abstractNumId w:val="9"/>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B576FB"/>
    <w:rsid w:val="009E371E"/>
    <w:rsid w:val="00A10B0C"/>
    <w:rsid w:val="00B576FB"/>
    <w:rsid w:val="00C65871"/>
    <w:rsid w:val="00D244E7"/>
    <w:rsid w:val="00D641B3"/>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576FB"/>
    <w:rPr>
      <w:rFonts w:ascii="Calibri" w:eastAsia="Times New Roman"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B576FB"/>
    <w:rPr>
      <w:color w:val="0000FF"/>
      <w:u w:val="single"/>
    </w:rPr>
  </w:style>
  <w:style w:type="paragraph" w:styleId="NormaleWeb">
    <w:name w:val="Normal (Web)"/>
    <w:basedOn w:val="Normale"/>
    <w:uiPriority w:val="99"/>
    <w:semiHidden/>
    <w:unhideWhenUsed/>
    <w:rsid w:val="00B576FB"/>
    <w:pPr>
      <w:spacing w:before="100" w:beforeAutospacing="1" w:after="100" w:afterAutospacing="1" w:line="240" w:lineRule="auto"/>
    </w:pPr>
    <w:rPr>
      <w:rFonts w:ascii="Times New Roman" w:hAnsi="Times New Roman"/>
      <w:sz w:val="15"/>
      <w:szCs w:val="15"/>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576FB"/>
    <w:rPr>
      <w:rFonts w:ascii="Calibri" w:eastAsia="Times New Roman"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B576FB"/>
    <w:rPr>
      <w:color w:val="0000FF"/>
      <w:u w:val="single"/>
    </w:rPr>
  </w:style>
  <w:style w:type="paragraph" w:styleId="NormaleWeb">
    <w:name w:val="Normal (Web)"/>
    <w:basedOn w:val="Normale"/>
    <w:uiPriority w:val="99"/>
    <w:semiHidden/>
    <w:unhideWhenUsed/>
    <w:rsid w:val="00B576FB"/>
    <w:pPr>
      <w:spacing w:before="100" w:beforeAutospacing="1" w:after="100" w:afterAutospacing="1" w:line="240" w:lineRule="auto"/>
    </w:pPr>
    <w:rPr>
      <w:rFonts w:ascii="Times New Roman" w:hAnsi="Times New Roman"/>
      <w:sz w:val="15"/>
      <w:szCs w:val="15"/>
      <w:lang w:eastAsia="it-IT"/>
    </w:rPr>
  </w:style>
</w:styles>
</file>

<file path=word/webSettings.xml><?xml version="1.0" encoding="utf-8"?>
<w:webSettings xmlns:r="http://schemas.openxmlformats.org/officeDocument/2006/relationships" xmlns:w="http://schemas.openxmlformats.org/wordprocessingml/2006/main">
  <w:divs>
    <w:div w:id="1549149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it.wikipedia.org/wiki/Rischi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ib.org/" TargetMode="External"/><Relationship Id="rId5" Type="http://schemas.openxmlformats.org/officeDocument/2006/relationships/image" Target="media/image1.pn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37</Pages>
  <Words>14690</Words>
  <Characters>83739</Characters>
  <Application>Microsoft Office Word</Application>
  <DocSecurity>0</DocSecurity>
  <Lines>697</Lines>
  <Paragraphs>196</Paragraphs>
  <ScaleCrop>false</ScaleCrop>
  <HeadingPairs>
    <vt:vector size="2" baseType="variant">
      <vt:variant>
        <vt:lpstr>Titolo</vt:lpstr>
      </vt:variant>
      <vt:variant>
        <vt:i4>1</vt:i4>
      </vt:variant>
    </vt:vector>
  </HeadingPairs>
  <TitlesOfParts>
    <vt:vector size="1" baseType="lpstr">
      <vt:lpstr/>
    </vt:vector>
  </TitlesOfParts>
  <Company>Nome Società</Company>
  <LinksUpToDate>false</LinksUpToDate>
  <CharactersWithSpaces>98233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Nome utente</dc:creator>
  <cp:keywords/>
  <dc:description/>
  <cp:lastModifiedBy>Studio</cp:lastModifiedBy>
  <cp:revision>2</cp:revision>
  <dcterms:created xsi:type="dcterms:W3CDTF">2012-12-08T10:00:00Z</dcterms:created>
  <dcterms:modified xsi:type="dcterms:W3CDTF">2012-12-08T10:00:00Z</dcterms:modified>
</cp:coreProperties>
</file>